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网上申报指南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（一）申报网址：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"http://zwfw.xinjiang.gov.cn/（新疆政务服务网）"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0"/>
          <w:szCs w:val="30"/>
          <w:lang w:val="en-US" w:eastAsia="zh-CN"/>
        </w:rPr>
        <w:t>http://zwfw.xinjiang.gov.cn/（新疆政务服务网）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（二）申报流程：打开网站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注册登录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法人办事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部门分类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自治区工信厅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选择事项性质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行政确认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技术中心认定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Arial" w:hAnsi="Arial" w:eastAsia="仿宋" w:cs="Arial"/>
          <w:sz w:val="30"/>
          <w:szCs w:val="30"/>
          <w:lang w:val="en-US" w:eastAsia="zh-CN"/>
        </w:rPr>
        <w:t>申报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填写相关信息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（三）企业账号信息由各企业自行注册并保管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（四）各地主管部门按照政务网管理权限对所属地区申报材料进行审核，将通过初审的申报材料与推荐意见推送至自治区工信厅审核。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B1FA1"/>
    <w:rsid w:val="4C863920"/>
    <w:rsid w:val="50CB1FA1"/>
    <w:rsid w:val="62D22C73"/>
    <w:rsid w:val="79A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2020-03-26T09:54:00Z</dcterms:created>
  <dc:creator>陈捷</dc:creator>
  <cp:lastModifiedBy>陈捷</cp:lastModifiedBy>
  <cp:lastPrinted>2020-03-27T03:05:24Z</cp:lastPrinted>
  <dcterms:modified xsi:type="dcterms:W3CDTF">2020-03-27T03:05:25Z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