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 w:hAnsi="仿宋" w:eastAsia="仿宋"/>
          <w:sz w:val="30"/>
          <w:szCs w:val="30"/>
        </w:rPr>
      </w:pPr>
      <w:r>
        <w:rPr>
          <w:rFonts w:hint="eastAsia" w:ascii="仿宋" w:hAnsi="仿宋" w:eastAsia="仿宋"/>
          <w:sz w:val="30"/>
          <w:szCs w:val="30"/>
        </w:rPr>
        <w:t>附加</w:t>
      </w:r>
      <w:r>
        <w:rPr>
          <w:rFonts w:ascii="仿宋" w:hAnsi="仿宋" w:eastAsia="仿宋"/>
          <w:sz w:val="30"/>
          <w:szCs w:val="30"/>
        </w:rPr>
        <w:t>3：</w:t>
      </w:r>
    </w:p>
    <w:p>
      <w:pPr>
        <w:widowControl/>
        <w:jc w:val="center"/>
        <w:rPr>
          <w:rFonts w:ascii="仿宋" w:hAnsi="仿宋" w:eastAsia="仿宋"/>
          <w:b/>
          <w:sz w:val="28"/>
          <w:szCs w:val="28"/>
        </w:rPr>
      </w:pPr>
      <w:r>
        <w:rPr>
          <w:rFonts w:hint="eastAsia" w:ascii="仿宋" w:hAnsi="仿宋" w:eastAsia="仿宋"/>
          <w:b/>
          <w:sz w:val="28"/>
          <w:szCs w:val="28"/>
        </w:rPr>
        <w:t>中国科学院上海技术物理研究所</w:t>
      </w:r>
    </w:p>
    <w:p>
      <w:pPr>
        <w:spacing w:line="360" w:lineRule="auto"/>
        <w:ind w:firstLine="480" w:firstLineChars="200"/>
        <w:rPr>
          <w:rFonts w:ascii="仿宋" w:hAnsi="仿宋" w:eastAsia="仿宋"/>
          <w:szCs w:val="24"/>
        </w:rPr>
      </w:pPr>
      <w:r>
        <w:rPr>
          <w:rFonts w:hint="eastAsia" w:ascii="仿宋" w:hAnsi="仿宋" w:eastAsia="仿宋"/>
          <w:szCs w:val="24"/>
        </w:rPr>
        <w:t>中国科学院上海技术物理研究所（简称上海技物所）位于玉田路</w:t>
      </w:r>
      <w:r>
        <w:rPr>
          <w:rFonts w:ascii="仿宋" w:hAnsi="仿宋" w:eastAsia="仿宋"/>
          <w:szCs w:val="24"/>
        </w:rPr>
        <w:t>500号，创建于1958年，是以红外物理与光电技术应用基础为主要研究方向，集基础研究、工程技术研发和高新技术产业化为一体的综合型研究机构。上海技物所以红外光电技术研究为定位，以红外光电新材料、新器件、新方法技术领域等作为主要研究方向，重点发展先进的航空航天有效载荷、红外凝视成像及信号处理、红外焦平面及遥感信息处理等技术。</w:t>
      </w:r>
    </w:p>
    <w:p>
      <w:pPr>
        <w:spacing w:line="360" w:lineRule="auto"/>
        <w:ind w:firstLine="480" w:firstLineChars="200"/>
        <w:rPr>
          <w:rFonts w:ascii="仿宋" w:hAnsi="仿宋" w:eastAsia="仿宋"/>
          <w:szCs w:val="24"/>
        </w:rPr>
      </w:pPr>
      <w:r>
        <w:rPr>
          <w:rFonts w:hint="eastAsia" w:ascii="仿宋" w:hAnsi="仿宋" w:eastAsia="仿宋"/>
          <w:szCs w:val="24"/>
        </w:rPr>
        <w:t>经过几十年的发展，上海技物所针对技术领域特点，形成具有自身特色的、覆盖“基础前沿—核心组部件—系统集成—国家需求”完整的研发体系。建成了具备“从红外材料物质结构基础理论研究，红外探测器和红外焦平面、可见光探测器、空间制冷机等核心组部件研制，到航天航空以及装备用红外、光电探测系统技术”较为完整的科技活动创新技术链。研究所设有研究室</w:t>
      </w:r>
      <w:r>
        <w:rPr>
          <w:rFonts w:ascii="仿宋" w:hAnsi="仿宋" w:eastAsia="仿宋"/>
          <w:szCs w:val="24"/>
        </w:rPr>
        <w:t>14个，建有红外物理国家重点实验室、传感技术联合国家重点实验室（光传感器专业点）、中科院红外成像材料与器件重点实验室、中科院红外探测与成像技术重点实验室、中科院空间主动光电技术重点实</w:t>
      </w:r>
      <w:r>
        <w:rPr>
          <w:rFonts w:hint="eastAsia" w:ascii="仿宋" w:hAnsi="仿宋" w:eastAsia="仿宋"/>
          <w:szCs w:val="24"/>
        </w:rPr>
        <w:t>验室以及省部共建现场物证光学探测技术联合实验室。</w:t>
      </w:r>
    </w:p>
    <w:p>
      <w:pPr>
        <w:spacing w:line="360" w:lineRule="auto"/>
        <w:ind w:firstLine="480" w:firstLineChars="200"/>
        <w:rPr>
          <w:rFonts w:ascii="仿宋" w:hAnsi="仿宋" w:eastAsia="仿宋"/>
          <w:szCs w:val="24"/>
        </w:rPr>
      </w:pPr>
      <w:r>
        <w:rPr>
          <w:rFonts w:hint="eastAsia" w:ascii="仿宋" w:hAnsi="仿宋" w:eastAsia="仿宋"/>
          <w:szCs w:val="24"/>
        </w:rPr>
        <w:t>上海技物所现有在岗职工</w:t>
      </w:r>
      <w:r>
        <w:rPr>
          <w:rFonts w:ascii="仿宋" w:hAnsi="仿宋" w:eastAsia="仿宋"/>
          <w:szCs w:val="24"/>
        </w:rPr>
        <w:t>1000余人。其中专业技术人员950余人，包括中国科学院院士7人、中国工程院院士2人，各类国家级专家80余人次；研究员及正高级工程技术人员近150人、副研究员及高级工程师180余人。其中，百千万人才工程国家级人选9人，万人计划3人，千人计划1人，青年千人计划1人，国家杰出青年基金获得者7人，国家优秀青年基金获得者2人，中科院百人计划入选者13人，中国科学关键技术人才6人，上海市领军人才13人，上海市科技精英4人，上海青年科技英才2人。</w:t>
      </w:r>
    </w:p>
    <w:p>
      <w:pPr>
        <w:spacing w:line="360" w:lineRule="auto"/>
        <w:ind w:firstLine="480" w:firstLineChars="200"/>
        <w:rPr>
          <w:rFonts w:ascii="仿宋" w:hAnsi="仿宋" w:eastAsia="仿宋"/>
          <w:szCs w:val="24"/>
        </w:rPr>
      </w:pPr>
    </w:p>
    <w:p>
      <w:pPr>
        <w:widowControl/>
        <w:jc w:val="left"/>
        <w:rPr>
          <w:rFonts w:ascii="仿宋" w:hAnsi="仿宋" w:eastAsia="仿宋"/>
          <w:sz w:val="21"/>
        </w:rPr>
      </w:pPr>
      <w:r>
        <w:rPr>
          <w:rFonts w:ascii="仿宋" w:hAnsi="仿宋" w:eastAsia="仿宋"/>
          <w:sz w:val="21"/>
        </w:rPr>
        <w:br w:type="page"/>
      </w:r>
    </w:p>
    <w:p>
      <w:pPr>
        <w:spacing w:line="360" w:lineRule="auto"/>
        <w:jc w:val="center"/>
        <w:rPr>
          <w:rFonts w:ascii="仿宋" w:hAnsi="仿宋" w:eastAsia="仿宋"/>
          <w:b/>
          <w:sz w:val="28"/>
          <w:szCs w:val="28"/>
        </w:rPr>
      </w:pPr>
      <w:r>
        <w:rPr>
          <w:rFonts w:hint="eastAsia" w:ascii="仿宋" w:hAnsi="仿宋" w:eastAsia="仿宋"/>
          <w:b/>
          <w:sz w:val="28"/>
          <w:szCs w:val="28"/>
        </w:rPr>
        <w:t>中国科学院上海光学精密机械研究所</w:t>
      </w:r>
    </w:p>
    <w:p>
      <w:pPr>
        <w:spacing w:line="360" w:lineRule="auto"/>
        <w:ind w:firstLine="480" w:firstLineChars="200"/>
        <w:rPr>
          <w:rFonts w:ascii="仿宋" w:hAnsi="仿宋" w:eastAsia="仿宋"/>
          <w:szCs w:val="24"/>
        </w:rPr>
      </w:pPr>
      <w:r>
        <w:rPr>
          <w:rFonts w:hint="eastAsia" w:ascii="仿宋" w:hAnsi="仿宋" w:eastAsia="仿宋"/>
          <w:szCs w:val="24"/>
        </w:rPr>
        <w:t>中国科学院上海光学精密机械研究所（简称中科院上海光机所）是我国建立最早、规模最大的激光专业研究所，成立于</w:t>
      </w:r>
      <w:r>
        <w:rPr>
          <w:rFonts w:ascii="仿宋" w:hAnsi="仿宋" w:eastAsia="仿宋"/>
          <w:szCs w:val="24"/>
        </w:rPr>
        <w:t>1964年，现已发展成为以探索现代光学重大基础及应用基础前沿研究、发展大型激光工程技术并开拓激光与光电子高技术应用为重点的综合性研究所。</w:t>
      </w:r>
    </w:p>
    <w:p>
      <w:pPr>
        <w:spacing w:line="360" w:lineRule="auto"/>
        <w:ind w:firstLine="480" w:firstLineChars="200"/>
        <w:rPr>
          <w:rFonts w:ascii="仿宋" w:hAnsi="仿宋" w:eastAsia="仿宋"/>
          <w:szCs w:val="24"/>
        </w:rPr>
      </w:pPr>
      <w:r>
        <w:rPr>
          <w:rFonts w:hint="eastAsia" w:ascii="仿宋" w:hAnsi="仿宋" w:eastAsia="仿宋"/>
          <w:szCs w:val="24"/>
        </w:rPr>
        <w:t>上海光机所重点学科领域为：强激光技术、强场物理与强光光学、信息光学、量子光学、激光与光电子器件、光学材料等。</w:t>
      </w:r>
    </w:p>
    <w:p>
      <w:pPr>
        <w:spacing w:line="360" w:lineRule="auto"/>
        <w:ind w:firstLine="480" w:firstLineChars="200"/>
        <w:rPr>
          <w:rFonts w:ascii="仿宋" w:hAnsi="仿宋" w:eastAsia="仿宋"/>
          <w:szCs w:val="24"/>
        </w:rPr>
      </w:pPr>
      <w:r>
        <w:rPr>
          <w:rFonts w:hint="eastAsia" w:ascii="仿宋" w:hAnsi="仿宋" w:eastAsia="仿宋"/>
          <w:szCs w:val="24"/>
        </w:rPr>
        <w:t>上海光机所现有职工</w:t>
      </w:r>
      <w:r>
        <w:rPr>
          <w:rFonts w:ascii="仿宋" w:hAnsi="仿宋" w:eastAsia="仿宋"/>
          <w:szCs w:val="24"/>
        </w:rPr>
        <w:t>900余人，专业技术人员700余人，正副高级科研人员300余人，并先后有8位专家当选为两院院士（中国科学院院士7人、中国工程院院士1人）。在读研究生近500人。</w:t>
      </w:r>
    </w:p>
    <w:p>
      <w:pPr>
        <w:spacing w:line="360" w:lineRule="auto"/>
        <w:ind w:firstLine="480" w:firstLineChars="200"/>
        <w:rPr>
          <w:rFonts w:ascii="仿宋" w:hAnsi="仿宋" w:eastAsia="仿宋"/>
          <w:szCs w:val="24"/>
        </w:rPr>
      </w:pPr>
      <w:r>
        <w:rPr>
          <w:rFonts w:hint="eastAsia" w:ascii="仿宋" w:hAnsi="仿宋" w:eastAsia="仿宋"/>
          <w:szCs w:val="24"/>
        </w:rPr>
        <w:t>上海光机所现设</w:t>
      </w:r>
      <w:r>
        <w:rPr>
          <w:rFonts w:ascii="仿宋" w:hAnsi="仿宋" w:eastAsia="仿宋"/>
          <w:szCs w:val="24"/>
        </w:rPr>
        <w:t>8个研究室，分别是：强场激光物理国家重点实验室、中科院量子光学重点实验室、高功率激光物理联合实验室（含：中科院高功率激光物理重点实验室）、空间激光信息技术研究中心（含：中科院空间激光通信及检验技术重点实验室、上海市全固态激光器与应用技术重点实验室）、中科院强激光材料重点实验室、信息光学与光电技术实验室、高密度光存储技术实验室、高功率激光单元技术研究与发展中心。</w:t>
      </w:r>
    </w:p>
    <w:p>
      <w:pPr>
        <w:spacing w:line="360" w:lineRule="auto"/>
        <w:ind w:firstLine="480" w:firstLineChars="200"/>
        <w:rPr>
          <w:rFonts w:ascii="仿宋" w:hAnsi="仿宋" w:eastAsia="仿宋"/>
          <w:szCs w:val="24"/>
        </w:rPr>
      </w:pPr>
      <w:r>
        <w:rPr>
          <w:rFonts w:hint="eastAsia" w:ascii="仿宋" w:hAnsi="仿宋" w:eastAsia="仿宋"/>
          <w:szCs w:val="24"/>
        </w:rPr>
        <w:t>上海光机所努力打造高水平科研平台，目前拥有国家重点实验室</w:t>
      </w:r>
      <w:r>
        <w:rPr>
          <w:rFonts w:ascii="仿宋" w:hAnsi="仿宋" w:eastAsia="仿宋"/>
          <w:szCs w:val="24"/>
        </w:rPr>
        <w:t>1个、两院联合实验室1个、中科院重点实验室4个、上海市重点实验室1个。</w:t>
      </w:r>
    </w:p>
    <w:p>
      <w:pPr>
        <w:spacing w:line="360" w:lineRule="auto"/>
        <w:ind w:firstLine="480" w:firstLineChars="200"/>
        <w:rPr>
          <w:rFonts w:ascii="仿宋" w:hAnsi="仿宋" w:eastAsia="仿宋"/>
          <w:sz w:val="21"/>
        </w:rPr>
      </w:pPr>
      <w:r>
        <w:rPr>
          <w:rFonts w:hint="eastAsia" w:ascii="仿宋" w:hAnsi="仿宋" w:eastAsia="仿宋"/>
          <w:szCs w:val="24"/>
        </w:rPr>
        <w:t>上海光机所十分重视国际合作和学术交流活动，多层次、多渠道和多种形式的国际学术交流和合作研究十分活跃。多年来接待的访问学者、科学家、企业家遍及</w:t>
      </w:r>
      <w:r>
        <w:rPr>
          <w:rFonts w:ascii="仿宋" w:hAnsi="仿宋" w:eastAsia="仿宋"/>
          <w:szCs w:val="24"/>
        </w:rPr>
        <w:t>50多个国家和地区，其中包括多名诺贝尔奖获得者和国家元首。派往国外参加国际会议、考察和合作研究的学者每年有近百人次，已与美国、德国、英国、法国、韩国、日本等十多个国家建立了多种形式的科技合作关系。2007年，被首批授予科技部“国际科技合作基地”。</w:t>
      </w:r>
    </w:p>
    <w:p>
      <w:pPr>
        <w:widowControl/>
        <w:jc w:val="left"/>
        <w:rPr>
          <w:rFonts w:hint="eastAsia" w:ascii="仿宋" w:hAnsi="仿宋" w:eastAsia="仿宋"/>
          <w:sz w:val="21"/>
        </w:rPr>
      </w:pPr>
      <w:r>
        <w:rPr>
          <w:rFonts w:ascii="仿宋" w:hAnsi="仿宋" w:eastAsia="仿宋"/>
          <w:sz w:val="21"/>
        </w:rPr>
        <w:br w:type="page"/>
      </w:r>
    </w:p>
    <w:p>
      <w:pPr>
        <w:autoSpaceDE w:val="0"/>
        <w:autoSpaceDN w:val="0"/>
        <w:snapToGrid w:val="0"/>
        <w:spacing w:line="360" w:lineRule="auto"/>
        <w:jc w:val="center"/>
        <w:rPr>
          <w:rFonts w:ascii="仿宋" w:hAnsi="仿宋" w:eastAsia="仿宋" w:cs="仿宋"/>
          <w:b/>
          <w:color w:val="000000"/>
          <w:sz w:val="28"/>
          <w:szCs w:val="28"/>
        </w:rPr>
      </w:pPr>
      <w:r>
        <w:rPr>
          <w:rFonts w:hint="eastAsia" w:ascii="仿宋" w:hAnsi="仿宋" w:eastAsia="仿宋" w:cs="仿宋"/>
          <w:b/>
          <w:color w:val="000000"/>
          <w:sz w:val="28"/>
          <w:szCs w:val="28"/>
        </w:rPr>
        <w:t>2018年第六届中国（上海）国际技术进出口交易会</w:t>
      </w:r>
    </w:p>
    <w:p>
      <w:pPr>
        <w:autoSpaceDE w:val="0"/>
        <w:autoSpaceDN w:val="0"/>
        <w:snapToGrid w:val="0"/>
        <w:spacing w:line="360" w:lineRule="auto"/>
        <w:ind w:firstLine="480" w:firstLineChars="200"/>
        <w:rPr>
          <w:rFonts w:ascii="仿宋" w:hAnsi="仿宋" w:eastAsia="仿宋" w:cs="仿宋"/>
          <w:color w:val="000000"/>
          <w:szCs w:val="24"/>
        </w:rPr>
      </w:pPr>
      <w:r>
        <w:rPr>
          <w:rFonts w:hint="eastAsia" w:ascii="仿宋" w:hAnsi="仿宋" w:eastAsia="仿宋" w:cs="仿宋"/>
          <w:color w:val="000000"/>
          <w:szCs w:val="24"/>
        </w:rPr>
        <w:t>中国（上海）国际技术进出口交易会（简称上交会CSITF），是经国务院批准，由中华人民共和国商务部、科技部、国家知识产权局和上海市人民政府共同主办，联合国工发组织UNIDO、联合国开发计划署UNDP、世界知识产权组织WIPO支持，上海市国际技术进出口促进中心、中国机电产品进出口商会、东浩兰生（集团）有限公司共同承办的专门为技术贸易设立的国家级、国际性的专业展会。第六届上交会将于2018年4月19日-21日在上海世博展览馆举行。</w:t>
      </w:r>
    </w:p>
    <w:p>
      <w:pPr>
        <w:autoSpaceDE w:val="0"/>
        <w:autoSpaceDN w:val="0"/>
        <w:snapToGrid w:val="0"/>
        <w:spacing w:line="360" w:lineRule="auto"/>
        <w:ind w:firstLine="480" w:firstLineChars="200"/>
        <w:rPr>
          <w:rFonts w:ascii="仿宋" w:hAnsi="仿宋" w:eastAsia="仿宋" w:cs="仿宋"/>
          <w:color w:val="000000"/>
          <w:szCs w:val="24"/>
        </w:rPr>
      </w:pPr>
      <w:r>
        <w:rPr>
          <w:rFonts w:hint="eastAsia" w:ascii="仿宋" w:hAnsi="仿宋" w:eastAsia="仿宋" w:cs="仿宋"/>
          <w:color w:val="000000"/>
          <w:szCs w:val="24"/>
        </w:rPr>
        <w:t>上交会以“技术，让生活更精彩”为核心理念，以“创新驱动发展，保护知识产权，促进技术贸易”为主题，旨在通过整合海内外科技力量和创新成果，积极打造促进技术贸易发展，推进实现创新升级战略的权威性展示、交流、服务的平台。</w:t>
      </w:r>
    </w:p>
    <w:p>
      <w:pPr>
        <w:widowControl/>
        <w:spacing w:line="360" w:lineRule="auto"/>
        <w:jc w:val="left"/>
        <w:rPr>
          <w:rFonts w:ascii="仿宋" w:hAnsi="仿宋" w:eastAsia="仿宋" w:cs="仿宋"/>
          <w:b/>
          <w:color w:val="000000"/>
          <w:szCs w:val="24"/>
        </w:rPr>
      </w:pPr>
      <w:r>
        <w:rPr>
          <w:rFonts w:hint="eastAsia" w:ascii="仿宋" w:hAnsi="仿宋" w:eastAsia="仿宋" w:cs="仿宋"/>
          <w:b/>
          <w:color w:val="000000"/>
          <w:szCs w:val="24"/>
        </w:rPr>
        <w:t>大会时间：2018年4月19日-21日</w:t>
      </w:r>
    </w:p>
    <w:p>
      <w:pPr>
        <w:widowControl/>
        <w:spacing w:line="360" w:lineRule="auto"/>
        <w:jc w:val="left"/>
        <w:rPr>
          <w:rFonts w:ascii="仿宋" w:hAnsi="仿宋" w:eastAsia="仿宋" w:cs="仿宋"/>
          <w:color w:val="000000"/>
          <w:szCs w:val="24"/>
        </w:rPr>
      </w:pPr>
      <w:r>
        <w:rPr>
          <w:rFonts w:hint="eastAsia" w:ascii="仿宋" w:hAnsi="仿宋" w:eastAsia="仿宋" w:cs="仿宋"/>
          <w:b/>
          <w:color w:val="000000"/>
          <w:szCs w:val="24"/>
        </w:rPr>
        <w:t>网上报名已经开通</w:t>
      </w:r>
      <w:r>
        <w:rPr>
          <w:rFonts w:hint="eastAsia" w:ascii="仿宋" w:hAnsi="仿宋" w:eastAsia="仿宋" w:cs="仿宋"/>
          <w:color w:val="000000"/>
          <w:szCs w:val="24"/>
        </w:rPr>
        <w:t>。大会网址入口：</w:t>
      </w:r>
      <w:r>
        <w:fldChar w:fldCharType="begin"/>
      </w:r>
      <w:r>
        <w:instrText xml:space="preserve"> HYPERLINK "http://www.csitf.cn/cn/index.aspx" </w:instrText>
      </w:r>
      <w:r>
        <w:fldChar w:fldCharType="separate"/>
      </w:r>
      <w:r>
        <w:rPr>
          <w:rFonts w:ascii="仿宋" w:hAnsi="仿宋" w:eastAsia="仿宋" w:cs="仿宋"/>
          <w:color w:val="0563C1"/>
          <w:szCs w:val="24"/>
          <w:u w:val="single"/>
        </w:rPr>
        <w:t>http://www.csitf.cn/cn/index.aspx</w:t>
      </w:r>
      <w:r>
        <w:rPr>
          <w:rFonts w:ascii="仿宋" w:hAnsi="仿宋" w:eastAsia="仿宋" w:cs="仿宋"/>
          <w:color w:val="0563C1"/>
          <w:szCs w:val="24"/>
          <w:u w:val="single"/>
        </w:rPr>
        <w:fldChar w:fldCharType="end"/>
      </w:r>
      <w:r>
        <w:rPr>
          <w:rFonts w:hint="eastAsia" w:ascii="仿宋" w:hAnsi="仿宋" w:eastAsia="仿宋" w:cs="仿宋"/>
          <w:color w:val="000000"/>
          <w:szCs w:val="24"/>
        </w:rPr>
        <w:t>，进入网址首页，有需要参展的企业可点击展商报名；无需参展的企业可以点击观众预登记进行报名。或微信扫描下图二维码，关注上交会</w:t>
      </w:r>
      <w:r>
        <w:rPr>
          <w:rFonts w:ascii="仿宋" w:hAnsi="仿宋" w:eastAsia="仿宋" w:cs="仿宋"/>
          <w:color w:val="000000"/>
          <w:szCs w:val="24"/>
        </w:rPr>
        <w:t>CSITF</w:t>
      </w:r>
      <w:r>
        <w:rPr>
          <w:rFonts w:hint="eastAsia" w:ascii="仿宋" w:hAnsi="仿宋" w:eastAsia="仿宋" w:cs="仿宋"/>
          <w:color w:val="000000"/>
          <w:szCs w:val="24"/>
        </w:rPr>
        <w:t>公众号，选择观众服务在线报名。</w:t>
      </w:r>
    </w:p>
    <w:p>
      <w:pPr>
        <w:widowControl/>
        <w:spacing w:line="360" w:lineRule="auto"/>
        <w:jc w:val="left"/>
        <w:rPr>
          <w:rFonts w:ascii="仿宋" w:hAnsi="仿宋" w:eastAsia="仿宋"/>
          <w:szCs w:val="24"/>
        </w:rPr>
      </w:pPr>
      <w:r>
        <w:drawing>
          <wp:inline distT="0" distB="0" distL="0" distR="0">
            <wp:extent cx="1422400" cy="1392555"/>
            <wp:effectExtent l="0" t="0" r="6350" b="171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1448765" cy="1418739"/>
                    </a:xfrm>
                    <a:prstGeom prst="rect">
                      <a:avLst/>
                    </a:prstGeom>
                  </pic:spPr>
                </pic:pic>
              </a:graphicData>
            </a:graphic>
          </wp:inline>
        </w:drawing>
      </w:r>
    </w:p>
    <w:p>
      <w:pPr>
        <w:widowControl/>
        <w:jc w:val="left"/>
        <w:rPr>
          <w:rFonts w:ascii="仿宋" w:hAnsi="仿宋" w:eastAsia="仿宋"/>
          <w:szCs w:val="24"/>
        </w:rPr>
      </w:pPr>
      <w:r>
        <w:rPr>
          <w:rFonts w:ascii="仿宋" w:hAnsi="仿宋" w:eastAsia="仿宋"/>
          <w:szCs w:val="24"/>
        </w:rPr>
        <w:br w:type="page"/>
      </w:r>
    </w:p>
    <w:p>
      <w:pPr>
        <w:widowControl/>
        <w:spacing w:line="360" w:lineRule="auto"/>
        <w:jc w:val="left"/>
        <w:rPr>
          <w:rFonts w:ascii="仿宋" w:hAnsi="仿宋" w:eastAsia="仿宋"/>
          <w:b/>
          <w:sz w:val="28"/>
          <w:szCs w:val="28"/>
        </w:rPr>
      </w:pPr>
      <w:r>
        <w:rPr>
          <w:rFonts w:hint="eastAsia" w:ascii="仿宋" w:hAnsi="仿宋" w:eastAsia="仿宋"/>
          <w:b/>
          <w:sz w:val="28"/>
          <w:szCs w:val="28"/>
        </w:rPr>
        <w:t>参观导览：</w:t>
      </w:r>
    </w:p>
    <w:tbl>
      <w:tblPr>
        <w:tblStyle w:val="4"/>
        <w:tblW w:w="864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34"/>
        <w:gridCol w:w="1985"/>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Merge w:val="restart"/>
            <w:vAlign w:val="center"/>
          </w:tcPr>
          <w:p>
            <w:pPr>
              <w:spacing w:line="360" w:lineRule="exact"/>
              <w:jc w:val="center"/>
              <w:rPr>
                <w:rFonts w:ascii="宋体" w:hAnsi="宋体" w:cs="华文楷体"/>
                <w:bCs/>
                <w:sz w:val="21"/>
                <w:szCs w:val="21"/>
              </w:rPr>
            </w:pPr>
            <w:r>
              <w:rPr>
                <w:rFonts w:hint="eastAsia" w:ascii="宋体" w:hAnsi="宋体" w:cs="华文楷体"/>
                <w:bCs/>
                <w:sz w:val="21"/>
                <w:szCs w:val="21"/>
              </w:rPr>
              <w:t>专业技术展区</w:t>
            </w:r>
            <w:bookmarkStart w:id="0" w:name="_GoBack"/>
            <w:bookmarkEnd w:id="0"/>
          </w:p>
        </w:tc>
        <w:tc>
          <w:tcPr>
            <w:tcW w:w="1134" w:type="dxa"/>
            <w:vMerge w:val="restart"/>
            <w:vAlign w:val="center"/>
          </w:tcPr>
          <w:p>
            <w:pPr>
              <w:spacing w:line="360" w:lineRule="exact"/>
              <w:jc w:val="center"/>
              <w:rPr>
                <w:rFonts w:ascii="宋体" w:hAnsi="宋体" w:cs="华文楷体"/>
                <w:bCs/>
                <w:sz w:val="21"/>
                <w:szCs w:val="21"/>
              </w:rPr>
            </w:pPr>
            <w:r>
              <w:rPr>
                <w:rFonts w:hint="eastAsia" w:ascii="宋体" w:hAnsi="宋体" w:cs="华文楷体"/>
                <w:bCs/>
                <w:sz w:val="21"/>
                <w:szCs w:val="21"/>
              </w:rPr>
              <w:t>节能环保</w:t>
            </w:r>
          </w:p>
        </w:tc>
        <w:tc>
          <w:tcPr>
            <w:tcW w:w="1985" w:type="dxa"/>
            <w:vAlign w:val="center"/>
          </w:tcPr>
          <w:p>
            <w:pPr>
              <w:spacing w:line="360" w:lineRule="exact"/>
              <w:jc w:val="center"/>
              <w:rPr>
                <w:rFonts w:ascii="宋体" w:hAnsi="宋体" w:cs="华文楷体"/>
                <w:bCs/>
                <w:sz w:val="21"/>
                <w:szCs w:val="21"/>
              </w:rPr>
            </w:pPr>
            <w:r>
              <w:rPr>
                <w:rFonts w:hint="eastAsia" w:ascii="宋体" w:hAnsi="宋体" w:cs="华文楷体"/>
                <w:bCs/>
                <w:sz w:val="21"/>
                <w:szCs w:val="21"/>
              </w:rPr>
              <w:t>高效节能产业</w:t>
            </w:r>
          </w:p>
        </w:tc>
        <w:tc>
          <w:tcPr>
            <w:tcW w:w="4394" w:type="dxa"/>
            <w:vAlign w:val="center"/>
          </w:tcPr>
          <w:p>
            <w:pPr>
              <w:spacing w:line="360" w:lineRule="exact"/>
              <w:jc w:val="center"/>
              <w:rPr>
                <w:rFonts w:ascii="宋体" w:hAnsi="宋体" w:cs="华文楷体"/>
                <w:bCs/>
                <w:sz w:val="21"/>
                <w:szCs w:val="21"/>
              </w:rPr>
            </w:pPr>
            <w:r>
              <w:rPr>
                <w:rFonts w:hint="eastAsia" w:ascii="宋体" w:hAnsi="宋体" w:cs="华文楷体"/>
                <w:bCs/>
                <w:sz w:val="21"/>
                <w:szCs w:val="21"/>
              </w:rPr>
              <w:t>高效照明、</w:t>
            </w:r>
            <w:r>
              <w:rPr>
                <w:rFonts w:ascii="宋体" w:hAnsi="宋体" w:cs="华文楷体"/>
                <w:bCs/>
                <w:sz w:val="21"/>
                <w:szCs w:val="21"/>
              </w:rPr>
              <w:t>绿色建筑材料</w:t>
            </w:r>
            <w:r>
              <w:rPr>
                <w:rFonts w:hint="eastAsia" w:ascii="宋体" w:hAnsi="宋体" w:cs="华文楷体"/>
                <w:bCs/>
                <w:sz w:val="21"/>
                <w:szCs w:val="21"/>
              </w:rPr>
              <w:t>、</w:t>
            </w:r>
            <w:r>
              <w:rPr>
                <w:rFonts w:ascii="宋体" w:hAnsi="宋体" w:cs="华文楷体"/>
                <w:bCs/>
                <w:sz w:val="21"/>
                <w:szCs w:val="21"/>
              </w:rPr>
              <w:t>节能交通工具</w:t>
            </w:r>
            <w:r>
              <w:rPr>
                <w:rFonts w:hint="eastAsia" w:ascii="宋体" w:hAnsi="宋体" w:cs="华文楷体"/>
                <w:bCs/>
                <w:sz w:val="21"/>
                <w:szCs w:val="21"/>
              </w:rPr>
              <w:t>、</w:t>
            </w:r>
            <w:r>
              <w:rPr>
                <w:rFonts w:ascii="宋体" w:hAnsi="宋体" w:cs="华文楷体"/>
                <w:bCs/>
                <w:sz w:val="21"/>
                <w:szCs w:val="21"/>
              </w:rPr>
              <w:t>节能管理与服务等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Merge w:val="continue"/>
            <w:vAlign w:val="center"/>
          </w:tcPr>
          <w:p>
            <w:pPr>
              <w:spacing w:line="360" w:lineRule="exact"/>
              <w:jc w:val="center"/>
              <w:rPr>
                <w:rFonts w:ascii="宋体" w:hAnsi="宋体" w:cs="华文楷体"/>
                <w:bCs/>
                <w:sz w:val="21"/>
                <w:szCs w:val="21"/>
              </w:rPr>
            </w:pPr>
          </w:p>
        </w:tc>
        <w:tc>
          <w:tcPr>
            <w:tcW w:w="1134" w:type="dxa"/>
            <w:vMerge w:val="continue"/>
            <w:vAlign w:val="center"/>
          </w:tcPr>
          <w:p>
            <w:pPr>
              <w:spacing w:line="360" w:lineRule="exact"/>
              <w:jc w:val="center"/>
              <w:rPr>
                <w:rFonts w:ascii="宋体" w:hAnsi="宋体" w:cs="华文楷体"/>
                <w:bCs/>
                <w:sz w:val="21"/>
                <w:szCs w:val="21"/>
              </w:rPr>
            </w:pPr>
          </w:p>
        </w:tc>
        <w:tc>
          <w:tcPr>
            <w:tcW w:w="1985" w:type="dxa"/>
            <w:vAlign w:val="center"/>
          </w:tcPr>
          <w:p>
            <w:pPr>
              <w:spacing w:line="360" w:lineRule="exact"/>
              <w:jc w:val="center"/>
              <w:rPr>
                <w:rFonts w:ascii="宋体" w:hAnsi="宋体" w:cs="华文楷体"/>
                <w:bCs/>
                <w:sz w:val="21"/>
                <w:szCs w:val="21"/>
              </w:rPr>
            </w:pPr>
            <w:r>
              <w:rPr>
                <w:rFonts w:hint="eastAsia" w:ascii="宋体" w:hAnsi="宋体" w:cs="华文楷体"/>
                <w:bCs/>
                <w:sz w:val="21"/>
                <w:szCs w:val="21"/>
              </w:rPr>
              <w:t>先进环保产业</w:t>
            </w:r>
          </w:p>
        </w:tc>
        <w:tc>
          <w:tcPr>
            <w:tcW w:w="4394" w:type="dxa"/>
            <w:vAlign w:val="center"/>
          </w:tcPr>
          <w:p>
            <w:pPr>
              <w:spacing w:line="360" w:lineRule="exact"/>
              <w:jc w:val="center"/>
              <w:rPr>
                <w:rFonts w:ascii="宋体" w:hAnsi="宋体" w:cs="华文楷体"/>
                <w:bCs/>
                <w:sz w:val="21"/>
                <w:szCs w:val="21"/>
              </w:rPr>
            </w:pPr>
            <w:r>
              <w:rPr>
                <w:rFonts w:hint="eastAsia" w:ascii="宋体" w:hAnsi="宋体" w:cs="华文楷体"/>
                <w:bCs/>
                <w:sz w:val="21"/>
                <w:szCs w:val="21"/>
              </w:rPr>
              <w:t>水和大气污染防治、</w:t>
            </w:r>
            <w:r>
              <w:rPr>
                <w:rFonts w:ascii="宋体" w:hAnsi="宋体" w:cs="华文楷体"/>
                <w:bCs/>
                <w:sz w:val="21"/>
                <w:szCs w:val="21"/>
              </w:rPr>
              <w:t>环境监测仪器与应急处理设备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Merge w:val="continue"/>
            <w:vAlign w:val="center"/>
          </w:tcPr>
          <w:p>
            <w:pPr>
              <w:spacing w:line="360" w:lineRule="exact"/>
              <w:jc w:val="center"/>
              <w:rPr>
                <w:rFonts w:ascii="宋体" w:hAnsi="宋体" w:cs="华文楷体"/>
                <w:bCs/>
                <w:sz w:val="21"/>
                <w:szCs w:val="21"/>
              </w:rPr>
            </w:pPr>
          </w:p>
        </w:tc>
        <w:tc>
          <w:tcPr>
            <w:tcW w:w="1134" w:type="dxa"/>
            <w:vMerge w:val="continue"/>
            <w:vAlign w:val="center"/>
          </w:tcPr>
          <w:p>
            <w:pPr>
              <w:spacing w:line="360" w:lineRule="exact"/>
              <w:jc w:val="center"/>
              <w:rPr>
                <w:rFonts w:ascii="宋体" w:hAnsi="宋体" w:cs="华文楷体"/>
                <w:bCs/>
                <w:sz w:val="21"/>
                <w:szCs w:val="21"/>
              </w:rPr>
            </w:pPr>
          </w:p>
        </w:tc>
        <w:tc>
          <w:tcPr>
            <w:tcW w:w="1985" w:type="dxa"/>
            <w:vAlign w:val="center"/>
          </w:tcPr>
          <w:p>
            <w:pPr>
              <w:spacing w:line="360" w:lineRule="exact"/>
              <w:jc w:val="center"/>
              <w:rPr>
                <w:rFonts w:ascii="宋体" w:hAnsi="宋体" w:cs="华文楷体"/>
                <w:bCs/>
                <w:sz w:val="21"/>
                <w:szCs w:val="21"/>
              </w:rPr>
            </w:pPr>
            <w:r>
              <w:rPr>
                <w:rFonts w:hint="eastAsia" w:ascii="宋体" w:hAnsi="宋体" w:cs="华文楷体"/>
                <w:bCs/>
                <w:sz w:val="21"/>
                <w:szCs w:val="21"/>
              </w:rPr>
              <w:t>资源循环利用产业</w:t>
            </w:r>
          </w:p>
        </w:tc>
        <w:tc>
          <w:tcPr>
            <w:tcW w:w="4394" w:type="dxa"/>
            <w:vAlign w:val="center"/>
          </w:tcPr>
          <w:p>
            <w:pPr>
              <w:spacing w:line="360" w:lineRule="exact"/>
              <w:jc w:val="center"/>
              <w:rPr>
                <w:rFonts w:ascii="宋体" w:hAnsi="宋体" w:cs="华文楷体"/>
                <w:bCs/>
                <w:sz w:val="21"/>
                <w:szCs w:val="21"/>
              </w:rPr>
            </w:pPr>
            <w:r>
              <w:rPr>
                <w:rFonts w:hint="eastAsia" w:ascii="宋体" w:hAnsi="宋体" w:cs="华文楷体"/>
                <w:bCs/>
                <w:sz w:val="21"/>
                <w:szCs w:val="21"/>
              </w:rPr>
              <w:t>固体废物综合利用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Merge w:val="continue"/>
            <w:vAlign w:val="center"/>
          </w:tcPr>
          <w:p>
            <w:pPr>
              <w:spacing w:line="360" w:lineRule="exact"/>
              <w:jc w:val="center"/>
              <w:rPr>
                <w:rFonts w:ascii="宋体" w:hAnsi="宋体" w:cs="华文楷体"/>
                <w:bCs/>
                <w:sz w:val="21"/>
                <w:szCs w:val="21"/>
              </w:rPr>
            </w:pPr>
          </w:p>
        </w:tc>
        <w:tc>
          <w:tcPr>
            <w:tcW w:w="1134" w:type="dxa"/>
            <w:vMerge w:val="restart"/>
            <w:vAlign w:val="center"/>
          </w:tcPr>
          <w:p>
            <w:pPr>
              <w:spacing w:line="360" w:lineRule="exact"/>
              <w:jc w:val="center"/>
              <w:rPr>
                <w:rFonts w:ascii="宋体" w:hAnsi="宋体" w:cs="华文楷体"/>
                <w:bCs/>
                <w:sz w:val="21"/>
                <w:szCs w:val="21"/>
              </w:rPr>
            </w:pPr>
            <w:r>
              <w:rPr>
                <w:rFonts w:hint="eastAsia" w:ascii="宋体" w:hAnsi="宋体" w:cs="华文楷体"/>
                <w:bCs/>
                <w:sz w:val="21"/>
                <w:szCs w:val="21"/>
              </w:rPr>
              <w:t>新一代信息技术</w:t>
            </w:r>
          </w:p>
        </w:tc>
        <w:tc>
          <w:tcPr>
            <w:tcW w:w="1985" w:type="dxa"/>
            <w:vAlign w:val="center"/>
          </w:tcPr>
          <w:p>
            <w:pPr>
              <w:spacing w:line="360" w:lineRule="exact"/>
              <w:jc w:val="center"/>
              <w:rPr>
                <w:rFonts w:ascii="宋体" w:hAnsi="宋体" w:cs="华文楷体"/>
                <w:bCs/>
                <w:sz w:val="21"/>
                <w:szCs w:val="21"/>
              </w:rPr>
            </w:pPr>
            <w:r>
              <w:rPr>
                <w:rFonts w:hint="eastAsia" w:ascii="宋体" w:hAnsi="宋体" w:cs="华文楷体"/>
                <w:bCs/>
                <w:sz w:val="21"/>
                <w:szCs w:val="21"/>
              </w:rPr>
              <w:t>网络技术</w:t>
            </w:r>
          </w:p>
        </w:tc>
        <w:tc>
          <w:tcPr>
            <w:tcW w:w="4394" w:type="dxa"/>
            <w:vAlign w:val="center"/>
          </w:tcPr>
          <w:p>
            <w:pPr>
              <w:spacing w:line="360" w:lineRule="exact"/>
              <w:jc w:val="center"/>
              <w:rPr>
                <w:rFonts w:ascii="宋体" w:hAnsi="宋体" w:cs="华文楷体"/>
                <w:bCs/>
                <w:sz w:val="21"/>
                <w:szCs w:val="21"/>
              </w:rPr>
            </w:pPr>
            <w:r>
              <w:rPr>
                <w:rFonts w:hint="eastAsia" w:ascii="宋体" w:hAnsi="宋体" w:cs="华文楷体"/>
                <w:bCs/>
                <w:sz w:val="21"/>
                <w:szCs w:val="21"/>
              </w:rPr>
              <w:t>新一代移动通讯、</w:t>
            </w:r>
            <w:r>
              <w:rPr>
                <w:rFonts w:ascii="宋体" w:hAnsi="宋体" w:cs="华文楷体"/>
                <w:bCs/>
                <w:sz w:val="21"/>
                <w:szCs w:val="21"/>
              </w:rPr>
              <w:t>下一代互联网</w:t>
            </w:r>
            <w:r>
              <w:rPr>
                <w:rFonts w:hint="eastAsia" w:ascii="宋体" w:hAnsi="宋体" w:cs="华文楷体"/>
                <w:bCs/>
                <w:sz w:val="21"/>
                <w:szCs w:val="21"/>
              </w:rPr>
              <w:t>、</w:t>
            </w:r>
            <w:r>
              <w:rPr>
                <w:rFonts w:ascii="宋体" w:hAnsi="宋体" w:cs="华文楷体"/>
                <w:bCs/>
                <w:sz w:val="21"/>
                <w:szCs w:val="21"/>
              </w:rPr>
              <w:t>云计算</w:t>
            </w:r>
            <w:r>
              <w:rPr>
                <w:rFonts w:hint="eastAsia" w:ascii="宋体" w:hAnsi="宋体" w:cs="华文楷体"/>
                <w:bCs/>
                <w:sz w:val="21"/>
                <w:szCs w:val="21"/>
              </w:rPr>
              <w:t>、</w:t>
            </w:r>
            <w:r>
              <w:rPr>
                <w:rFonts w:ascii="宋体" w:hAnsi="宋体" w:cs="华文楷体"/>
                <w:bCs/>
                <w:sz w:val="21"/>
                <w:szCs w:val="21"/>
              </w:rPr>
              <w:t>物联网（城市交通与停车设备等）</w:t>
            </w:r>
            <w:r>
              <w:rPr>
                <w:rFonts w:hint="eastAsia" w:ascii="宋体" w:hAnsi="宋体" w:cs="华文楷体"/>
                <w:bCs/>
                <w:sz w:val="21"/>
                <w:szCs w:val="21"/>
              </w:rPr>
              <w:t>、</w:t>
            </w:r>
            <w:r>
              <w:rPr>
                <w:rFonts w:ascii="宋体" w:hAnsi="宋体" w:cs="华文楷体"/>
                <w:bCs/>
                <w:sz w:val="21"/>
                <w:szCs w:val="21"/>
              </w:rPr>
              <w:t>大城市解决方案</w:t>
            </w:r>
            <w:r>
              <w:rPr>
                <w:rFonts w:hint="eastAsia" w:ascii="宋体" w:hAnsi="宋体" w:cs="华文楷体"/>
                <w:bCs/>
                <w:sz w:val="21"/>
                <w:szCs w:val="21"/>
              </w:rPr>
              <w:t>、</w:t>
            </w:r>
            <w:r>
              <w:rPr>
                <w:rFonts w:ascii="宋体" w:hAnsi="宋体" w:cs="华文楷体"/>
                <w:bCs/>
                <w:sz w:val="21"/>
                <w:szCs w:val="21"/>
              </w:rPr>
              <w:t>城市能源设施</w:t>
            </w:r>
            <w:r>
              <w:rPr>
                <w:rFonts w:hint="eastAsia" w:ascii="宋体" w:hAnsi="宋体" w:cs="华文楷体"/>
                <w:bCs/>
                <w:sz w:val="21"/>
                <w:szCs w:val="21"/>
              </w:rPr>
              <w:t>、</w:t>
            </w:r>
            <w:r>
              <w:rPr>
                <w:rFonts w:ascii="宋体" w:hAnsi="宋体" w:cs="华文楷体"/>
                <w:bCs/>
                <w:sz w:val="21"/>
                <w:szCs w:val="21"/>
              </w:rPr>
              <w:t>城市水务管理</w:t>
            </w:r>
            <w:r>
              <w:rPr>
                <w:rFonts w:hint="eastAsia" w:ascii="宋体" w:hAnsi="宋体" w:cs="华文楷体"/>
                <w:bCs/>
                <w:sz w:val="21"/>
                <w:szCs w:val="21"/>
              </w:rPr>
              <w:t>、</w:t>
            </w:r>
            <w:r>
              <w:rPr>
                <w:rFonts w:ascii="宋体" w:hAnsi="宋体" w:cs="华文楷体"/>
                <w:bCs/>
                <w:sz w:val="21"/>
                <w:szCs w:val="21"/>
              </w:rPr>
              <w:t>水资源保护</w:t>
            </w:r>
            <w:r>
              <w:rPr>
                <w:rFonts w:hint="eastAsia" w:ascii="宋体" w:hAnsi="宋体" w:cs="华文楷体"/>
                <w:bCs/>
                <w:sz w:val="21"/>
                <w:szCs w:val="21"/>
              </w:rPr>
              <w:t>、</w:t>
            </w:r>
            <w:r>
              <w:rPr>
                <w:rFonts w:ascii="宋体" w:hAnsi="宋体" w:cs="华文楷体"/>
                <w:bCs/>
                <w:sz w:val="21"/>
                <w:szCs w:val="21"/>
              </w:rPr>
              <w:t>城市交通与物流</w:t>
            </w:r>
            <w:r>
              <w:rPr>
                <w:rFonts w:hint="eastAsia" w:ascii="宋体" w:hAnsi="宋体" w:cs="华文楷体"/>
                <w:bCs/>
                <w:sz w:val="21"/>
                <w:szCs w:val="21"/>
              </w:rPr>
              <w:t>、</w:t>
            </w:r>
            <w:r>
              <w:rPr>
                <w:rFonts w:ascii="宋体" w:hAnsi="宋体" w:cs="华文楷体"/>
                <w:bCs/>
                <w:sz w:val="21"/>
                <w:szCs w:val="21"/>
              </w:rPr>
              <w:t>城市楼宇与基础设施</w:t>
            </w:r>
            <w:r>
              <w:rPr>
                <w:rFonts w:hint="eastAsia" w:ascii="宋体" w:hAnsi="宋体" w:cs="华文楷体"/>
                <w:bCs/>
                <w:sz w:val="21"/>
                <w:szCs w:val="21"/>
              </w:rPr>
              <w:t>、</w:t>
            </w:r>
            <w:r>
              <w:rPr>
                <w:rFonts w:ascii="宋体" w:hAnsi="宋体" w:cs="华文楷体"/>
                <w:bCs/>
                <w:sz w:val="21"/>
                <w:szCs w:val="21"/>
              </w:rPr>
              <w:t>城市安全与安防</w:t>
            </w:r>
            <w:r>
              <w:rPr>
                <w:rFonts w:hint="eastAsia" w:ascii="宋体" w:hAnsi="宋体" w:cs="华文楷体"/>
                <w:bCs/>
                <w:sz w:val="21"/>
                <w:szCs w:val="21"/>
              </w:rPr>
              <w:t>、</w:t>
            </w:r>
            <w:r>
              <w:rPr>
                <w:rFonts w:ascii="宋体" w:hAnsi="宋体" w:cs="华文楷体"/>
                <w:bCs/>
                <w:sz w:val="21"/>
                <w:szCs w:val="21"/>
              </w:rPr>
              <w:t>城市废物处理</w:t>
            </w:r>
            <w:r>
              <w:rPr>
                <w:rFonts w:hint="eastAsia" w:ascii="宋体" w:hAnsi="宋体" w:cs="华文楷体"/>
                <w:bCs/>
                <w:sz w:val="21"/>
                <w:szCs w:val="21"/>
              </w:rPr>
              <w:t>、</w:t>
            </w:r>
            <w:r>
              <w:rPr>
                <w:rFonts w:ascii="宋体" w:hAnsi="宋体" w:cs="华文楷体"/>
                <w:bCs/>
                <w:sz w:val="21"/>
                <w:szCs w:val="21"/>
              </w:rPr>
              <w:t>智慧城市/城市管理</w:t>
            </w:r>
            <w:r>
              <w:rPr>
                <w:rFonts w:hint="eastAsia" w:ascii="宋体" w:hAnsi="宋体" w:cs="华文楷体"/>
                <w:bCs/>
                <w:sz w:val="21"/>
                <w:szCs w:val="21"/>
              </w:rPr>
              <w:t>、</w:t>
            </w:r>
            <w:r>
              <w:rPr>
                <w:rFonts w:ascii="宋体" w:hAnsi="宋体" w:cs="华文楷体"/>
                <w:bCs/>
                <w:sz w:val="21"/>
                <w:szCs w:val="21"/>
              </w:rPr>
              <w:t>4G通讯技术等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Merge w:val="continue"/>
            <w:vAlign w:val="center"/>
          </w:tcPr>
          <w:p>
            <w:pPr>
              <w:spacing w:line="360" w:lineRule="exact"/>
              <w:jc w:val="center"/>
              <w:rPr>
                <w:rFonts w:ascii="宋体" w:hAnsi="宋体" w:cs="华文楷体"/>
                <w:bCs/>
                <w:sz w:val="21"/>
                <w:szCs w:val="21"/>
              </w:rPr>
            </w:pPr>
          </w:p>
        </w:tc>
        <w:tc>
          <w:tcPr>
            <w:tcW w:w="1134" w:type="dxa"/>
            <w:vMerge w:val="continue"/>
            <w:vAlign w:val="center"/>
          </w:tcPr>
          <w:p>
            <w:pPr>
              <w:spacing w:line="360" w:lineRule="exact"/>
              <w:jc w:val="center"/>
              <w:rPr>
                <w:rFonts w:ascii="宋体" w:hAnsi="宋体" w:cs="华文楷体"/>
                <w:bCs/>
                <w:sz w:val="21"/>
                <w:szCs w:val="21"/>
              </w:rPr>
            </w:pPr>
          </w:p>
        </w:tc>
        <w:tc>
          <w:tcPr>
            <w:tcW w:w="1985" w:type="dxa"/>
            <w:vAlign w:val="center"/>
          </w:tcPr>
          <w:p>
            <w:pPr>
              <w:spacing w:line="360" w:lineRule="exact"/>
              <w:jc w:val="center"/>
              <w:rPr>
                <w:rFonts w:ascii="宋体" w:hAnsi="宋体" w:cs="华文楷体"/>
                <w:bCs/>
                <w:sz w:val="21"/>
                <w:szCs w:val="21"/>
              </w:rPr>
            </w:pPr>
            <w:r>
              <w:rPr>
                <w:rFonts w:hint="eastAsia" w:ascii="宋体" w:hAnsi="宋体" w:cs="华文楷体"/>
                <w:bCs/>
                <w:sz w:val="21"/>
                <w:szCs w:val="21"/>
              </w:rPr>
              <w:t>下一代信息网络安全防护</w:t>
            </w:r>
          </w:p>
        </w:tc>
        <w:tc>
          <w:tcPr>
            <w:tcW w:w="4394" w:type="dxa"/>
            <w:vAlign w:val="center"/>
          </w:tcPr>
          <w:p>
            <w:pPr>
              <w:spacing w:line="360" w:lineRule="exact"/>
              <w:jc w:val="center"/>
              <w:rPr>
                <w:rFonts w:ascii="宋体" w:hAnsi="宋体" w:cs="华文楷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Merge w:val="continue"/>
            <w:vAlign w:val="center"/>
          </w:tcPr>
          <w:p>
            <w:pPr>
              <w:spacing w:line="360" w:lineRule="exact"/>
              <w:jc w:val="center"/>
              <w:rPr>
                <w:rFonts w:ascii="宋体" w:hAnsi="宋体" w:cs="华文楷体"/>
                <w:bCs/>
                <w:sz w:val="21"/>
                <w:szCs w:val="21"/>
              </w:rPr>
            </w:pPr>
          </w:p>
        </w:tc>
        <w:tc>
          <w:tcPr>
            <w:tcW w:w="1134" w:type="dxa"/>
            <w:vMerge w:val="restart"/>
            <w:vAlign w:val="center"/>
          </w:tcPr>
          <w:p>
            <w:pPr>
              <w:spacing w:line="360" w:lineRule="exact"/>
              <w:jc w:val="center"/>
              <w:rPr>
                <w:rFonts w:ascii="宋体" w:hAnsi="宋体" w:cs="华文楷体"/>
                <w:bCs/>
                <w:sz w:val="21"/>
                <w:szCs w:val="21"/>
              </w:rPr>
            </w:pPr>
            <w:r>
              <w:rPr>
                <w:rFonts w:hint="eastAsia" w:ascii="宋体" w:hAnsi="宋体" w:cs="华文楷体"/>
                <w:bCs/>
                <w:sz w:val="21"/>
                <w:szCs w:val="21"/>
              </w:rPr>
              <w:t>生物</w:t>
            </w:r>
          </w:p>
        </w:tc>
        <w:tc>
          <w:tcPr>
            <w:tcW w:w="1985" w:type="dxa"/>
            <w:vAlign w:val="center"/>
          </w:tcPr>
          <w:p>
            <w:pPr>
              <w:spacing w:line="360" w:lineRule="exact"/>
              <w:jc w:val="center"/>
              <w:rPr>
                <w:rFonts w:ascii="宋体" w:hAnsi="宋体" w:cs="华文楷体"/>
                <w:bCs/>
                <w:sz w:val="21"/>
                <w:szCs w:val="21"/>
              </w:rPr>
            </w:pPr>
            <w:r>
              <w:rPr>
                <w:rFonts w:hint="eastAsia" w:ascii="宋体" w:hAnsi="宋体" w:cs="华文楷体"/>
                <w:bCs/>
                <w:sz w:val="21"/>
                <w:szCs w:val="21"/>
              </w:rPr>
              <w:t>生物医药、生物医学工程</w:t>
            </w:r>
          </w:p>
        </w:tc>
        <w:tc>
          <w:tcPr>
            <w:tcW w:w="4394" w:type="dxa"/>
            <w:vAlign w:val="center"/>
          </w:tcPr>
          <w:p>
            <w:pPr>
              <w:spacing w:line="360" w:lineRule="exact"/>
              <w:jc w:val="center"/>
              <w:rPr>
                <w:rFonts w:ascii="宋体" w:hAnsi="宋体" w:cs="华文楷体"/>
                <w:bCs/>
                <w:sz w:val="21"/>
                <w:szCs w:val="21"/>
              </w:rPr>
            </w:pPr>
            <w:r>
              <w:rPr>
                <w:rFonts w:hint="eastAsia" w:ascii="宋体" w:hAnsi="宋体" w:cs="华文楷体"/>
                <w:bCs/>
                <w:sz w:val="21"/>
                <w:szCs w:val="21"/>
              </w:rPr>
              <w:t>医疗信息化与远程医疗技术设备、生物技术和仪器设备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Merge w:val="continue"/>
            <w:vAlign w:val="center"/>
          </w:tcPr>
          <w:p>
            <w:pPr>
              <w:spacing w:line="360" w:lineRule="exact"/>
              <w:jc w:val="center"/>
              <w:rPr>
                <w:rFonts w:ascii="宋体" w:hAnsi="宋体" w:cs="华文楷体"/>
                <w:bCs/>
                <w:sz w:val="21"/>
                <w:szCs w:val="21"/>
              </w:rPr>
            </w:pPr>
          </w:p>
        </w:tc>
        <w:tc>
          <w:tcPr>
            <w:tcW w:w="1134" w:type="dxa"/>
            <w:vMerge w:val="continue"/>
            <w:vAlign w:val="center"/>
          </w:tcPr>
          <w:p>
            <w:pPr>
              <w:spacing w:line="360" w:lineRule="exact"/>
              <w:jc w:val="center"/>
              <w:rPr>
                <w:rFonts w:ascii="宋体" w:hAnsi="宋体" w:cs="华文楷体"/>
                <w:bCs/>
                <w:sz w:val="21"/>
                <w:szCs w:val="21"/>
              </w:rPr>
            </w:pPr>
          </w:p>
        </w:tc>
        <w:tc>
          <w:tcPr>
            <w:tcW w:w="1985" w:type="dxa"/>
            <w:vAlign w:val="center"/>
          </w:tcPr>
          <w:p>
            <w:pPr>
              <w:spacing w:line="360" w:lineRule="exact"/>
              <w:jc w:val="center"/>
              <w:rPr>
                <w:rFonts w:ascii="宋体" w:hAnsi="宋体" w:cs="华文楷体"/>
                <w:bCs/>
                <w:sz w:val="21"/>
                <w:szCs w:val="21"/>
              </w:rPr>
            </w:pPr>
            <w:r>
              <w:rPr>
                <w:rFonts w:hint="eastAsia" w:ascii="宋体" w:hAnsi="宋体" w:cs="华文楷体"/>
                <w:bCs/>
                <w:sz w:val="21"/>
                <w:szCs w:val="21"/>
              </w:rPr>
              <w:t>生物安全</w:t>
            </w:r>
          </w:p>
        </w:tc>
        <w:tc>
          <w:tcPr>
            <w:tcW w:w="4394" w:type="dxa"/>
            <w:vAlign w:val="center"/>
          </w:tcPr>
          <w:p>
            <w:pPr>
              <w:spacing w:line="360" w:lineRule="exact"/>
              <w:jc w:val="center"/>
              <w:rPr>
                <w:rFonts w:ascii="宋体" w:hAnsi="宋体" w:cs="华文楷体"/>
                <w:bCs/>
                <w:sz w:val="21"/>
                <w:szCs w:val="21"/>
              </w:rPr>
            </w:pPr>
            <w:r>
              <w:rPr>
                <w:rFonts w:hint="eastAsia" w:ascii="宋体" w:hAnsi="宋体" w:cs="华文楷体"/>
                <w:bCs/>
                <w:sz w:val="21"/>
                <w:szCs w:val="21"/>
              </w:rPr>
              <w:t>安全食品与食品安全等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Merge w:val="continue"/>
            <w:vAlign w:val="center"/>
          </w:tcPr>
          <w:p>
            <w:pPr>
              <w:spacing w:line="360" w:lineRule="exact"/>
              <w:jc w:val="center"/>
              <w:rPr>
                <w:rFonts w:ascii="宋体" w:hAnsi="宋体" w:cs="华文楷体"/>
                <w:bCs/>
                <w:sz w:val="21"/>
                <w:szCs w:val="21"/>
              </w:rPr>
            </w:pPr>
          </w:p>
        </w:tc>
        <w:tc>
          <w:tcPr>
            <w:tcW w:w="1134" w:type="dxa"/>
            <w:vAlign w:val="center"/>
          </w:tcPr>
          <w:p>
            <w:pPr>
              <w:spacing w:line="360" w:lineRule="exact"/>
              <w:jc w:val="center"/>
              <w:rPr>
                <w:rFonts w:ascii="宋体" w:hAnsi="宋体" w:cs="华文楷体"/>
                <w:bCs/>
                <w:sz w:val="21"/>
                <w:szCs w:val="21"/>
              </w:rPr>
            </w:pPr>
            <w:r>
              <w:rPr>
                <w:rFonts w:hint="eastAsia" w:ascii="宋体" w:hAnsi="宋体" w:cs="华文楷体"/>
                <w:bCs/>
                <w:sz w:val="21"/>
                <w:szCs w:val="21"/>
              </w:rPr>
              <w:t>高端装备</w:t>
            </w:r>
          </w:p>
        </w:tc>
        <w:tc>
          <w:tcPr>
            <w:tcW w:w="1985" w:type="dxa"/>
            <w:vAlign w:val="center"/>
          </w:tcPr>
          <w:p>
            <w:pPr>
              <w:spacing w:line="360" w:lineRule="exact"/>
              <w:jc w:val="center"/>
              <w:rPr>
                <w:rFonts w:ascii="宋体" w:hAnsi="宋体" w:cs="华文楷体"/>
                <w:bCs/>
                <w:sz w:val="21"/>
                <w:szCs w:val="21"/>
              </w:rPr>
            </w:pPr>
            <w:r>
              <w:rPr>
                <w:rFonts w:hint="eastAsia" w:ascii="宋体" w:hAnsi="宋体" w:cs="华文楷体"/>
                <w:bCs/>
                <w:sz w:val="21"/>
                <w:szCs w:val="21"/>
              </w:rPr>
              <w:t>智能制造</w:t>
            </w:r>
          </w:p>
        </w:tc>
        <w:tc>
          <w:tcPr>
            <w:tcW w:w="4394" w:type="dxa"/>
            <w:vAlign w:val="center"/>
          </w:tcPr>
          <w:p>
            <w:pPr>
              <w:spacing w:line="360" w:lineRule="exact"/>
              <w:jc w:val="center"/>
              <w:rPr>
                <w:rFonts w:ascii="宋体" w:hAnsi="宋体" w:cs="华文楷体"/>
                <w:bCs/>
                <w:sz w:val="21"/>
                <w:szCs w:val="21"/>
              </w:rPr>
            </w:pPr>
            <w:r>
              <w:rPr>
                <w:rFonts w:hint="eastAsia" w:ascii="宋体" w:hAnsi="宋体" w:cs="华文楷体"/>
                <w:bCs/>
                <w:sz w:val="21"/>
                <w:szCs w:val="21"/>
              </w:rPr>
              <w:t>智能制造基础技术与部件、制造过程智能化技术、装备、智能化高端装备、系统集成与示范应用、机器人、</w:t>
            </w:r>
            <w:r>
              <w:rPr>
                <w:rFonts w:ascii="宋体" w:hAnsi="宋体" w:cs="华文楷体"/>
                <w:bCs/>
                <w:sz w:val="21"/>
                <w:szCs w:val="21"/>
              </w:rPr>
              <w:t>3D打印</w:t>
            </w:r>
            <w:r>
              <w:rPr>
                <w:rFonts w:hint="eastAsia" w:ascii="宋体" w:hAnsi="宋体" w:cs="华文楷体"/>
                <w:bCs/>
                <w:sz w:val="21"/>
                <w:szCs w:val="21"/>
              </w:rPr>
              <w:t>、精密制造等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Align w:val="center"/>
          </w:tcPr>
          <w:p>
            <w:pPr>
              <w:spacing w:line="360" w:lineRule="exact"/>
              <w:jc w:val="center"/>
              <w:rPr>
                <w:rFonts w:ascii="宋体" w:hAnsi="宋体" w:cs="华文楷体"/>
                <w:bCs/>
                <w:sz w:val="21"/>
                <w:szCs w:val="21"/>
              </w:rPr>
            </w:pPr>
            <w:r>
              <w:rPr>
                <w:rFonts w:hint="eastAsia" w:ascii="宋体" w:hAnsi="宋体" w:cs="华文楷体"/>
                <w:bCs/>
                <w:sz w:val="21"/>
                <w:szCs w:val="21"/>
              </w:rPr>
              <w:t>未来技术展区</w:t>
            </w:r>
          </w:p>
        </w:tc>
        <w:tc>
          <w:tcPr>
            <w:tcW w:w="7513" w:type="dxa"/>
            <w:gridSpan w:val="3"/>
            <w:vAlign w:val="center"/>
          </w:tcPr>
          <w:p>
            <w:pPr>
              <w:spacing w:line="360" w:lineRule="exact"/>
              <w:jc w:val="center"/>
              <w:rPr>
                <w:rFonts w:ascii="宋体" w:hAnsi="宋体" w:cs="华文楷体"/>
                <w:bCs/>
                <w:sz w:val="21"/>
                <w:szCs w:val="21"/>
              </w:rPr>
            </w:pPr>
            <w:r>
              <w:rPr>
                <w:rFonts w:hint="eastAsia" w:ascii="宋体" w:hAnsi="宋体" w:cs="华文楷体"/>
                <w:bCs/>
                <w:sz w:val="21"/>
                <w:szCs w:val="21"/>
              </w:rPr>
              <w:t>创客、科研院所、境内外高校、投资促进服务、独立发明人的可转移项目及自有发明专利、企业研发中心科研成果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Align w:val="center"/>
          </w:tcPr>
          <w:p>
            <w:pPr>
              <w:spacing w:line="360" w:lineRule="exact"/>
              <w:jc w:val="center"/>
              <w:rPr>
                <w:rFonts w:ascii="宋体" w:hAnsi="宋体" w:cs="华文楷体"/>
                <w:bCs/>
                <w:sz w:val="21"/>
                <w:szCs w:val="21"/>
              </w:rPr>
            </w:pPr>
            <w:r>
              <w:rPr>
                <w:rFonts w:hint="eastAsia" w:ascii="宋体" w:hAnsi="宋体" w:cs="华文楷体"/>
                <w:bCs/>
                <w:sz w:val="21"/>
                <w:szCs w:val="21"/>
              </w:rPr>
              <w:t>交易服务区</w:t>
            </w:r>
          </w:p>
        </w:tc>
        <w:tc>
          <w:tcPr>
            <w:tcW w:w="7513" w:type="dxa"/>
            <w:gridSpan w:val="3"/>
            <w:vAlign w:val="center"/>
          </w:tcPr>
          <w:p>
            <w:pPr>
              <w:spacing w:line="360" w:lineRule="exact"/>
              <w:jc w:val="center"/>
              <w:rPr>
                <w:rFonts w:ascii="宋体" w:hAnsi="宋体" w:cs="华文楷体"/>
                <w:bCs/>
                <w:sz w:val="21"/>
                <w:szCs w:val="21"/>
              </w:rPr>
            </w:pPr>
            <w:r>
              <w:rPr>
                <w:rFonts w:hint="eastAsia" w:ascii="宋体" w:hAnsi="宋体" w:cs="华文楷体"/>
                <w:bCs/>
                <w:sz w:val="21"/>
                <w:szCs w:val="21"/>
              </w:rPr>
              <w:t>技术转让许可</w:t>
            </w:r>
            <w:r>
              <w:rPr>
                <w:rFonts w:ascii="宋体" w:hAnsi="宋体" w:cs="华文楷体"/>
                <w:bCs/>
                <w:sz w:val="21"/>
                <w:szCs w:val="21"/>
              </w:rPr>
              <w:t xml:space="preserve"> </w:t>
            </w:r>
            <w:r>
              <w:rPr>
                <w:rFonts w:hint="eastAsia" w:ascii="宋体" w:hAnsi="宋体" w:cs="华文楷体"/>
                <w:bCs/>
                <w:sz w:val="21"/>
                <w:szCs w:val="21"/>
              </w:rPr>
              <w:t>、知识产权保护</w:t>
            </w:r>
            <w:r>
              <w:rPr>
                <w:rFonts w:ascii="宋体" w:hAnsi="宋体" w:cs="华文楷体"/>
                <w:bCs/>
                <w:sz w:val="21"/>
                <w:szCs w:val="21"/>
              </w:rPr>
              <w:t xml:space="preserve"> </w:t>
            </w:r>
            <w:r>
              <w:rPr>
                <w:rFonts w:hint="eastAsia" w:ascii="宋体" w:hAnsi="宋体" w:cs="华文楷体"/>
                <w:bCs/>
                <w:sz w:val="21"/>
                <w:szCs w:val="21"/>
              </w:rPr>
              <w:t>、科技金融</w:t>
            </w:r>
            <w:r>
              <w:rPr>
                <w:rFonts w:ascii="宋体" w:hAnsi="宋体" w:cs="华文楷体"/>
                <w:bCs/>
                <w:sz w:val="21"/>
                <w:szCs w:val="21"/>
              </w:rPr>
              <w:t xml:space="preserve"> </w:t>
            </w:r>
            <w:r>
              <w:rPr>
                <w:rFonts w:hint="eastAsia" w:ascii="宋体" w:hAnsi="宋体" w:cs="华文楷体"/>
                <w:bCs/>
                <w:sz w:val="21"/>
                <w:szCs w:val="21"/>
              </w:rPr>
              <w:t>、国际技术人才</w:t>
            </w:r>
            <w:r>
              <w:rPr>
                <w:rFonts w:ascii="宋体" w:hAnsi="宋体" w:cs="华文楷体"/>
                <w:bCs/>
                <w:sz w:val="21"/>
                <w:szCs w:val="21"/>
              </w:rPr>
              <w:t xml:space="preserve"> </w:t>
            </w:r>
            <w:r>
              <w:rPr>
                <w:rFonts w:hint="eastAsia" w:ascii="宋体" w:hAnsi="宋体" w:cs="华文楷体"/>
                <w:bCs/>
                <w:sz w:val="21"/>
                <w:szCs w:val="21"/>
              </w:rPr>
              <w:t>、投资促进服务</w:t>
            </w:r>
          </w:p>
        </w:tc>
      </w:tr>
    </w:tbl>
    <w:p>
      <w:pPr>
        <w:widowControl/>
        <w:spacing w:line="360" w:lineRule="auto"/>
        <w:jc w:val="left"/>
        <w:rPr>
          <w:rFonts w:ascii="仿宋" w:hAnsi="仿宋" w:eastAsia="仿宋"/>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9C0A66"/>
    <w:rsid w:val="4C9C0A6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4"/>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jc w:val="center"/>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vAlign w:val="center"/>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2018-04-03T05:33:00Z</dcterms:created>
  <dc:creator>NTKO</dc:creator>
  <cp:lastModifiedBy>NTKO</cp:lastModifiedBy>
  <dcterms:modified xsi:type="dcterms:W3CDTF">2018-04-03T05:33:56Z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