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89" w:rsidRDefault="002C7989" w:rsidP="002C7989">
      <w:pPr>
        <w:shd w:val="clear" w:color="auto" w:fill="FFFFFF"/>
        <w:adjustRightInd/>
        <w:snapToGrid/>
        <w:spacing w:after="0" w:line="600" w:lineRule="exact"/>
        <w:jc w:val="center"/>
        <w:rPr>
          <w:rFonts w:ascii="宋体" w:eastAsia="宋体" w:hAnsi="宋体"/>
          <w:b/>
          <w:sz w:val="44"/>
          <w:szCs w:val="44"/>
        </w:rPr>
      </w:pPr>
      <w:r w:rsidRPr="007C3D03">
        <w:rPr>
          <w:rFonts w:ascii="宋体" w:eastAsia="宋体" w:hAnsi="宋体" w:hint="eastAsia"/>
          <w:b/>
          <w:sz w:val="44"/>
          <w:szCs w:val="44"/>
        </w:rPr>
        <w:t>河北省创新创业大赛奖励资金实施细则</w:t>
      </w:r>
    </w:p>
    <w:p w:rsidR="002C7989" w:rsidRDefault="002C7989" w:rsidP="002C7989">
      <w:pPr>
        <w:shd w:val="clear" w:color="auto" w:fill="FFFFFF"/>
        <w:adjustRightInd/>
        <w:snapToGrid/>
        <w:spacing w:after="0" w:line="600" w:lineRule="exact"/>
        <w:jc w:val="center"/>
        <w:rPr>
          <w:rFonts w:ascii="黑体" w:eastAsia="黑体" w:hAnsi="黑体" w:cs="宋体"/>
          <w:bCs/>
          <w:color w:val="333333"/>
          <w:sz w:val="32"/>
          <w:szCs w:val="32"/>
        </w:rPr>
      </w:pPr>
    </w:p>
    <w:p w:rsidR="002C7989" w:rsidRDefault="002C7989" w:rsidP="002C7989">
      <w:pPr>
        <w:shd w:val="clear" w:color="auto" w:fill="FFFFFF"/>
        <w:adjustRightInd/>
        <w:snapToGrid/>
        <w:spacing w:after="0" w:line="600" w:lineRule="exact"/>
        <w:jc w:val="center"/>
        <w:rPr>
          <w:rFonts w:ascii="黑体" w:eastAsia="黑体" w:hAnsi="黑体" w:cs="宋体"/>
          <w:color w:val="333333"/>
          <w:sz w:val="32"/>
          <w:szCs w:val="32"/>
        </w:rPr>
      </w:pPr>
      <w:r>
        <w:rPr>
          <w:rFonts w:ascii="黑体" w:eastAsia="黑体" w:hAnsi="黑体" w:cs="宋体" w:hint="eastAsia"/>
          <w:bCs/>
          <w:color w:val="333333"/>
          <w:sz w:val="32"/>
          <w:szCs w:val="32"/>
        </w:rPr>
        <w:t>第一章  总则</w:t>
      </w:r>
    </w:p>
    <w:p w:rsidR="002C7989" w:rsidRDefault="002C7989" w:rsidP="002C7989">
      <w:pPr>
        <w:shd w:val="clear" w:color="auto" w:fill="FFFFFF"/>
        <w:adjustRightInd/>
        <w:snapToGrid/>
        <w:spacing w:after="0" w:line="600" w:lineRule="exact"/>
        <w:ind w:firstLineChars="200" w:firstLine="643"/>
        <w:rPr>
          <w:rFonts w:ascii="仿宋" w:eastAsia="仿宋" w:hAnsi="仿宋" w:cs="宋体"/>
          <w:color w:val="333333"/>
          <w:sz w:val="32"/>
          <w:szCs w:val="32"/>
        </w:rPr>
      </w:pPr>
      <w:r>
        <w:rPr>
          <w:rFonts w:ascii="仿宋" w:eastAsia="仿宋" w:hAnsi="仿宋" w:cs="宋体" w:hint="eastAsia"/>
          <w:b/>
          <w:color w:val="333333"/>
          <w:sz w:val="32"/>
          <w:szCs w:val="32"/>
        </w:rPr>
        <w:t>第一条</w:t>
      </w:r>
      <w:r>
        <w:rPr>
          <w:rFonts w:ascii="仿宋" w:eastAsia="仿宋" w:hAnsi="仿宋" w:cs="宋体" w:hint="eastAsia"/>
          <w:color w:val="333333"/>
          <w:sz w:val="32"/>
          <w:szCs w:val="32"/>
        </w:rPr>
        <w:t xml:space="preserve">  为进一步规范和加强河北省创新创业大赛（以下简称大赛）获奖项目奖励资金的管理，培育具有核心创新能力、高成长性的源头企业，促进科技型中小企业加速发展，特制定本细则。</w:t>
      </w:r>
    </w:p>
    <w:p w:rsidR="002C7989" w:rsidRDefault="002C7989" w:rsidP="002C7989">
      <w:pPr>
        <w:shd w:val="clear" w:color="auto" w:fill="FFFFFF"/>
        <w:adjustRightInd/>
        <w:snapToGrid/>
        <w:spacing w:after="0" w:line="600" w:lineRule="exact"/>
        <w:ind w:firstLineChars="200" w:firstLine="643"/>
        <w:rPr>
          <w:rFonts w:ascii="仿宋" w:eastAsia="仿宋" w:hAnsi="仿宋" w:cs="宋体"/>
          <w:color w:val="333333"/>
          <w:sz w:val="32"/>
          <w:szCs w:val="32"/>
        </w:rPr>
      </w:pPr>
      <w:r>
        <w:rPr>
          <w:rFonts w:ascii="仿宋" w:eastAsia="仿宋" w:hAnsi="仿宋" w:cs="宋体" w:hint="eastAsia"/>
          <w:b/>
          <w:color w:val="333333"/>
          <w:sz w:val="32"/>
          <w:szCs w:val="32"/>
        </w:rPr>
        <w:t>第二条</w:t>
      </w:r>
      <w:r>
        <w:rPr>
          <w:rFonts w:ascii="仿宋" w:eastAsia="仿宋" w:hAnsi="仿宋" w:cs="宋体" w:hint="eastAsia"/>
          <w:color w:val="333333"/>
          <w:sz w:val="32"/>
          <w:szCs w:val="32"/>
        </w:rPr>
        <w:t xml:space="preserve">  大赛奖励资金支持对象为河北省创新创业大赛晋级总决赛、获一二三等奖队伍的参赛项目。</w:t>
      </w:r>
    </w:p>
    <w:p w:rsidR="002C7989" w:rsidRDefault="002C7989" w:rsidP="002C7989">
      <w:pPr>
        <w:shd w:val="clear" w:color="auto" w:fill="FFFFFF"/>
        <w:adjustRightInd/>
        <w:snapToGrid/>
        <w:spacing w:after="0" w:line="600" w:lineRule="exact"/>
        <w:jc w:val="center"/>
        <w:rPr>
          <w:rFonts w:ascii="黑体" w:eastAsia="黑体" w:hAnsi="黑体" w:cs="宋体"/>
          <w:bCs/>
          <w:color w:val="333333"/>
          <w:sz w:val="32"/>
          <w:szCs w:val="32"/>
        </w:rPr>
      </w:pPr>
      <w:r>
        <w:rPr>
          <w:rFonts w:ascii="黑体" w:eastAsia="黑体" w:hAnsi="黑体" w:cs="宋体" w:hint="eastAsia"/>
          <w:bCs/>
          <w:color w:val="333333"/>
          <w:sz w:val="32"/>
          <w:szCs w:val="32"/>
        </w:rPr>
        <w:t>第二章  赛事组织</w:t>
      </w:r>
    </w:p>
    <w:p w:rsidR="002C7989" w:rsidRDefault="002C7989" w:rsidP="002C7989">
      <w:pPr>
        <w:shd w:val="clear" w:color="auto" w:fill="FFFFFF"/>
        <w:adjustRightInd/>
        <w:snapToGrid/>
        <w:spacing w:after="0" w:line="600" w:lineRule="exact"/>
        <w:ind w:firstLineChars="200" w:firstLine="643"/>
        <w:rPr>
          <w:rFonts w:ascii="黑体" w:eastAsia="黑体" w:hAnsi="黑体" w:cs="宋体"/>
          <w:bCs/>
          <w:color w:val="333333"/>
          <w:sz w:val="32"/>
          <w:szCs w:val="32"/>
        </w:rPr>
      </w:pPr>
      <w:r>
        <w:rPr>
          <w:rFonts w:ascii="仿宋" w:eastAsia="仿宋" w:hAnsi="仿宋" w:cs="宋体" w:hint="eastAsia"/>
          <w:b/>
          <w:color w:val="333333"/>
          <w:sz w:val="32"/>
          <w:szCs w:val="32"/>
        </w:rPr>
        <w:t xml:space="preserve">第三条  </w:t>
      </w:r>
      <w:r>
        <w:rPr>
          <w:rFonts w:ascii="仿宋" w:eastAsia="仿宋" w:hAnsi="仿宋" w:cs="宋体" w:hint="eastAsia"/>
          <w:color w:val="333333"/>
          <w:sz w:val="32"/>
          <w:szCs w:val="32"/>
        </w:rPr>
        <w:t>大赛由省科技厅等部门举办，设立组委会作为大赛的组织决策机构；组委会下设办公室，负责大赛各项工作的具体执行，办公室设在河北省科技型中小企业技术创新资金管理中心。大赛同时承担中国创新创业大赛（河北赛区）比赛。</w:t>
      </w:r>
    </w:p>
    <w:p w:rsidR="002C7989" w:rsidRDefault="002C7989" w:rsidP="002C7989">
      <w:pPr>
        <w:shd w:val="clear" w:color="auto" w:fill="FFFFFF"/>
        <w:adjustRightInd/>
        <w:snapToGrid/>
        <w:spacing w:after="0" w:line="600" w:lineRule="exact"/>
        <w:ind w:firstLineChars="200" w:firstLine="643"/>
        <w:rPr>
          <w:rFonts w:ascii="仿宋" w:eastAsia="仿宋" w:hAnsi="仿宋" w:cs="宋体"/>
          <w:color w:val="333333"/>
          <w:sz w:val="32"/>
          <w:szCs w:val="32"/>
        </w:rPr>
      </w:pPr>
      <w:r>
        <w:rPr>
          <w:rFonts w:ascii="仿宋" w:eastAsia="仿宋" w:hAnsi="仿宋" w:cs="宋体" w:hint="eastAsia"/>
          <w:b/>
          <w:color w:val="333333"/>
          <w:sz w:val="32"/>
          <w:szCs w:val="32"/>
        </w:rPr>
        <w:t xml:space="preserve">第四条  </w:t>
      </w:r>
      <w:r>
        <w:rPr>
          <w:rFonts w:ascii="仿宋" w:eastAsia="仿宋" w:hAnsi="仿宋" w:cs="宋体" w:hint="eastAsia"/>
          <w:color w:val="333333"/>
          <w:sz w:val="32"/>
          <w:szCs w:val="32"/>
        </w:rPr>
        <w:t>赛事环节分为初赛、行业赛、半决赛和总决赛等阶段。赛事采取网络评审、会议评审和面对面答辩等方式，按技术领域和队伍类别分组进行评比。</w:t>
      </w:r>
    </w:p>
    <w:p w:rsidR="002C7989" w:rsidRDefault="002C7989" w:rsidP="002C7989">
      <w:pPr>
        <w:shd w:val="clear" w:color="auto" w:fill="FFFFFF"/>
        <w:adjustRightInd/>
        <w:snapToGrid/>
        <w:spacing w:after="0" w:line="600" w:lineRule="exact"/>
        <w:ind w:firstLineChars="200" w:firstLine="643"/>
        <w:rPr>
          <w:rFonts w:ascii="仿宋" w:eastAsia="仿宋" w:hAnsi="仿宋" w:cs="宋体"/>
          <w:color w:val="333333"/>
          <w:sz w:val="32"/>
          <w:szCs w:val="32"/>
        </w:rPr>
      </w:pPr>
      <w:r>
        <w:rPr>
          <w:rFonts w:ascii="仿宋" w:eastAsia="仿宋" w:hAnsi="仿宋" w:cs="宋体" w:hint="eastAsia"/>
          <w:b/>
          <w:color w:val="333333"/>
          <w:sz w:val="32"/>
          <w:szCs w:val="32"/>
        </w:rPr>
        <w:t>第五条</w:t>
      </w:r>
      <w:r>
        <w:rPr>
          <w:rFonts w:ascii="仿宋" w:eastAsia="仿宋" w:hAnsi="仿宋" w:cs="宋体" w:hint="eastAsia"/>
          <w:color w:val="333333"/>
          <w:sz w:val="32"/>
          <w:szCs w:val="32"/>
        </w:rPr>
        <w:t xml:space="preserve">  大赛实行网络报名方式，已在历届中国创新创业大赛获奖或上年度大赛总决赛晋级的项目及承担单位不得重复参加大赛。</w:t>
      </w:r>
    </w:p>
    <w:p w:rsidR="002C7989" w:rsidRDefault="002C7989" w:rsidP="002C7989">
      <w:pPr>
        <w:shd w:val="clear" w:color="auto" w:fill="FFFFFF"/>
        <w:adjustRightInd/>
        <w:snapToGrid/>
        <w:spacing w:after="0" w:line="600" w:lineRule="exact"/>
        <w:ind w:firstLineChars="200" w:firstLine="643"/>
        <w:rPr>
          <w:rFonts w:ascii="仿宋" w:eastAsia="仿宋" w:hAnsi="仿宋" w:cs="宋体"/>
          <w:color w:val="333333"/>
          <w:sz w:val="32"/>
          <w:szCs w:val="32"/>
        </w:rPr>
      </w:pPr>
      <w:r>
        <w:rPr>
          <w:rFonts w:ascii="仿宋" w:eastAsia="仿宋" w:hAnsi="仿宋" w:cs="宋体" w:hint="eastAsia"/>
          <w:b/>
          <w:color w:val="333333"/>
          <w:sz w:val="32"/>
          <w:szCs w:val="32"/>
        </w:rPr>
        <w:t>第六条</w:t>
      </w:r>
      <w:r>
        <w:rPr>
          <w:rFonts w:ascii="仿宋" w:eastAsia="仿宋" w:hAnsi="仿宋" w:cs="宋体" w:hint="eastAsia"/>
          <w:color w:val="333333"/>
          <w:sz w:val="32"/>
          <w:szCs w:val="32"/>
        </w:rPr>
        <w:t xml:space="preserve">  大赛组委会依托专家委员会进行参赛项目的评审工作，并根据参赛项目所在组别及所属行业技术领域进行分类评审，通过逐级淘汰方式产生获奖队伍。</w:t>
      </w:r>
    </w:p>
    <w:p w:rsidR="002C7989" w:rsidRDefault="002C7989" w:rsidP="002C7989">
      <w:pPr>
        <w:shd w:val="clear" w:color="auto" w:fill="FFFFFF"/>
        <w:adjustRightInd/>
        <w:snapToGrid/>
        <w:spacing w:after="0" w:line="600" w:lineRule="exact"/>
        <w:ind w:firstLineChars="200" w:firstLine="643"/>
        <w:rPr>
          <w:rFonts w:ascii="仿宋" w:eastAsia="仿宋" w:hAnsi="仿宋" w:cs="宋体"/>
          <w:color w:val="333333"/>
          <w:sz w:val="32"/>
          <w:szCs w:val="32"/>
        </w:rPr>
      </w:pPr>
      <w:r>
        <w:rPr>
          <w:rFonts w:ascii="仿宋" w:eastAsia="仿宋" w:hAnsi="仿宋" w:cs="宋体" w:hint="eastAsia"/>
          <w:b/>
          <w:color w:val="333333"/>
          <w:sz w:val="32"/>
          <w:szCs w:val="32"/>
        </w:rPr>
        <w:lastRenderedPageBreak/>
        <w:t xml:space="preserve">第七条  </w:t>
      </w:r>
      <w:r>
        <w:rPr>
          <w:rFonts w:ascii="仿宋" w:eastAsia="仿宋" w:hAnsi="仿宋" w:cs="宋体" w:hint="eastAsia"/>
          <w:color w:val="333333"/>
          <w:sz w:val="32"/>
          <w:szCs w:val="32"/>
        </w:rPr>
        <w:t>组委会在每轮比赛之后公布入围下轮比赛或获奖的项目名单。获奖队伍须接受并配合组委会安排的尽职调查。</w:t>
      </w:r>
    </w:p>
    <w:p w:rsidR="002C7989" w:rsidRDefault="002C7989" w:rsidP="002C7989">
      <w:pPr>
        <w:shd w:val="clear" w:color="auto" w:fill="FFFFFF"/>
        <w:adjustRightInd/>
        <w:snapToGrid/>
        <w:spacing w:after="0" w:line="600" w:lineRule="exact"/>
        <w:jc w:val="center"/>
        <w:rPr>
          <w:rFonts w:ascii="黑体" w:eastAsia="黑体" w:hAnsi="黑体" w:cs="宋体"/>
          <w:bCs/>
          <w:color w:val="333333"/>
          <w:sz w:val="32"/>
          <w:szCs w:val="32"/>
        </w:rPr>
      </w:pPr>
      <w:r>
        <w:rPr>
          <w:rFonts w:ascii="黑体" w:eastAsia="黑体" w:hAnsi="黑体" w:cs="宋体" w:hint="eastAsia"/>
          <w:bCs/>
          <w:color w:val="333333"/>
          <w:sz w:val="32"/>
          <w:szCs w:val="32"/>
        </w:rPr>
        <w:t>第三章  奖项设置</w:t>
      </w:r>
    </w:p>
    <w:p w:rsidR="002C7989" w:rsidRDefault="002C7989" w:rsidP="002C7989">
      <w:pPr>
        <w:shd w:val="clear" w:color="auto" w:fill="FFFFFF"/>
        <w:adjustRightInd/>
        <w:snapToGrid/>
        <w:spacing w:after="0" w:line="600" w:lineRule="exact"/>
        <w:ind w:firstLineChars="200" w:firstLine="643"/>
        <w:rPr>
          <w:rFonts w:ascii="仿宋" w:eastAsia="仿宋" w:hAnsi="仿宋" w:cs="宋体"/>
          <w:color w:val="333333"/>
          <w:sz w:val="32"/>
          <w:szCs w:val="32"/>
        </w:rPr>
      </w:pPr>
      <w:r>
        <w:rPr>
          <w:rFonts w:ascii="仿宋" w:eastAsia="仿宋" w:hAnsi="仿宋" w:cs="宋体" w:hint="eastAsia"/>
          <w:b/>
          <w:color w:val="333333"/>
          <w:sz w:val="32"/>
          <w:szCs w:val="32"/>
        </w:rPr>
        <w:t xml:space="preserve">第八条  </w:t>
      </w:r>
      <w:r>
        <w:rPr>
          <w:rFonts w:ascii="仿宋" w:eastAsia="仿宋" w:hAnsi="仿宋" w:cs="宋体" w:hint="eastAsia"/>
          <w:color w:val="333333"/>
          <w:sz w:val="32"/>
          <w:szCs w:val="32"/>
        </w:rPr>
        <w:t>大赛按照报名参赛数量比例分别设立总决赛晋级奖项及一、二、三等奖各若干名。总决赛晋级奖项称号分别为：冠军、亚军、季军及总决赛名次。</w:t>
      </w:r>
    </w:p>
    <w:p w:rsidR="002C7989" w:rsidRDefault="002C7989" w:rsidP="002C7989">
      <w:pPr>
        <w:shd w:val="clear" w:color="auto" w:fill="FFFFFF"/>
        <w:adjustRightInd/>
        <w:snapToGrid/>
        <w:spacing w:after="0" w:line="600" w:lineRule="exact"/>
        <w:ind w:firstLineChars="200" w:firstLine="643"/>
        <w:rPr>
          <w:rFonts w:ascii="仿宋" w:eastAsia="仿宋" w:hAnsi="仿宋" w:cs="宋体"/>
          <w:color w:val="333333"/>
          <w:sz w:val="32"/>
          <w:szCs w:val="32"/>
        </w:rPr>
      </w:pPr>
      <w:r>
        <w:rPr>
          <w:rFonts w:ascii="仿宋" w:eastAsia="仿宋" w:hAnsi="仿宋" w:cs="宋体" w:hint="eastAsia"/>
          <w:b/>
          <w:color w:val="333333"/>
          <w:sz w:val="32"/>
          <w:szCs w:val="32"/>
        </w:rPr>
        <w:t xml:space="preserve">第九条  </w:t>
      </w:r>
      <w:r>
        <w:rPr>
          <w:rFonts w:ascii="仿宋" w:eastAsia="仿宋" w:hAnsi="仿宋" w:cs="宋体" w:hint="eastAsia"/>
          <w:color w:val="333333"/>
          <w:sz w:val="32"/>
          <w:szCs w:val="32"/>
        </w:rPr>
        <w:t>获奖项目给予一次性奖励，用于支持企业发展和项目落地，按奖项给予不超过100万元的奖励。获总决赛晋级奖项的团队，须在当年大赛报名截止日后1年内注册成立企业并正常运营后方可获得奖金补助。</w:t>
      </w:r>
    </w:p>
    <w:p w:rsidR="002C7989" w:rsidRDefault="002C7989" w:rsidP="002C7989">
      <w:pPr>
        <w:shd w:val="clear" w:color="auto" w:fill="FFFFFF"/>
        <w:adjustRightInd/>
        <w:snapToGrid/>
        <w:spacing w:after="0" w:line="600" w:lineRule="exact"/>
        <w:ind w:firstLineChars="200" w:firstLine="643"/>
        <w:rPr>
          <w:rFonts w:ascii="仿宋" w:eastAsia="仿宋" w:hAnsi="仿宋" w:cs="宋体"/>
          <w:color w:val="333333"/>
          <w:sz w:val="32"/>
          <w:szCs w:val="32"/>
        </w:rPr>
      </w:pPr>
      <w:r>
        <w:rPr>
          <w:rFonts w:ascii="仿宋" w:eastAsia="仿宋" w:hAnsi="仿宋" w:cs="宋体" w:hint="eastAsia"/>
          <w:b/>
          <w:color w:val="333333"/>
          <w:sz w:val="32"/>
          <w:szCs w:val="32"/>
        </w:rPr>
        <w:t xml:space="preserve">第十条  </w:t>
      </w:r>
      <w:r>
        <w:rPr>
          <w:rFonts w:ascii="仿宋" w:eastAsia="仿宋" w:hAnsi="仿宋" w:cs="宋体"/>
          <w:color w:val="333333"/>
          <w:sz w:val="32"/>
          <w:szCs w:val="32"/>
        </w:rPr>
        <w:t>大赛</w:t>
      </w:r>
      <w:r>
        <w:rPr>
          <w:rFonts w:ascii="仿宋" w:eastAsia="仿宋" w:hAnsi="仿宋" w:cs="宋体" w:hint="eastAsia"/>
          <w:color w:val="333333"/>
          <w:sz w:val="32"/>
          <w:szCs w:val="32"/>
        </w:rPr>
        <w:t>获奖项目和奖金额度公布后，奖励资金由省科技厅列入下年度预算，由大赛组委会办公室直接拨付获奖企业或团队。</w:t>
      </w:r>
    </w:p>
    <w:p w:rsidR="002C7989" w:rsidRDefault="002C7989" w:rsidP="002C7989">
      <w:pPr>
        <w:shd w:val="clear" w:color="auto" w:fill="FFFFFF"/>
        <w:adjustRightInd/>
        <w:snapToGrid/>
        <w:spacing w:after="0" w:line="600" w:lineRule="exact"/>
        <w:jc w:val="center"/>
        <w:rPr>
          <w:rFonts w:ascii="黑体" w:eastAsia="黑体" w:hAnsi="黑体" w:cs="宋体"/>
          <w:bCs/>
          <w:color w:val="333333"/>
          <w:sz w:val="32"/>
          <w:szCs w:val="32"/>
        </w:rPr>
      </w:pPr>
      <w:r>
        <w:rPr>
          <w:rFonts w:ascii="黑体" w:eastAsia="黑体" w:hAnsi="黑体" w:cs="宋体" w:hint="eastAsia"/>
          <w:bCs/>
          <w:color w:val="333333"/>
          <w:sz w:val="32"/>
          <w:szCs w:val="32"/>
        </w:rPr>
        <w:t>第四章  附则</w:t>
      </w:r>
    </w:p>
    <w:p w:rsidR="002C7989" w:rsidRDefault="002C7989" w:rsidP="002C7989">
      <w:pPr>
        <w:shd w:val="clear" w:color="auto" w:fill="FFFFFF"/>
        <w:adjustRightInd/>
        <w:snapToGrid/>
        <w:spacing w:after="0" w:line="600" w:lineRule="exact"/>
        <w:ind w:firstLineChars="200" w:firstLine="643"/>
        <w:rPr>
          <w:rFonts w:ascii="仿宋" w:eastAsia="仿宋" w:hAnsi="仿宋" w:cs="宋体"/>
          <w:color w:val="333333"/>
          <w:sz w:val="32"/>
          <w:szCs w:val="32"/>
        </w:rPr>
      </w:pPr>
      <w:r>
        <w:rPr>
          <w:rFonts w:ascii="仿宋" w:eastAsia="仿宋" w:hAnsi="仿宋" w:cs="宋体" w:hint="eastAsia"/>
          <w:b/>
          <w:color w:val="333333"/>
          <w:sz w:val="32"/>
          <w:szCs w:val="32"/>
        </w:rPr>
        <w:t>第十一条</w:t>
      </w:r>
      <w:r>
        <w:rPr>
          <w:rFonts w:ascii="仿宋" w:eastAsia="仿宋" w:hAnsi="仿宋" w:cs="宋体" w:hint="eastAsia"/>
          <w:color w:val="333333"/>
          <w:sz w:val="32"/>
          <w:szCs w:val="32"/>
        </w:rPr>
        <w:t xml:space="preserve">  对违反规定，骗取、挪用补助资金的，将取消其获奖资格，追回财政资金，并依照有关法律规定进行处理；涉嫌犯罪的，依法移送司法机关处理。</w:t>
      </w:r>
    </w:p>
    <w:p w:rsidR="002C7989" w:rsidRDefault="002C7989" w:rsidP="002C7989">
      <w:pPr>
        <w:shd w:val="clear" w:color="auto" w:fill="FFFFFF"/>
        <w:adjustRightInd/>
        <w:snapToGrid/>
        <w:spacing w:after="0" w:line="600" w:lineRule="exact"/>
        <w:ind w:firstLineChars="200" w:firstLine="643"/>
        <w:rPr>
          <w:rFonts w:ascii="仿宋" w:eastAsia="仿宋" w:hAnsi="仿宋" w:cs="宋体"/>
          <w:color w:val="333333"/>
          <w:sz w:val="32"/>
          <w:szCs w:val="32"/>
        </w:rPr>
      </w:pPr>
      <w:r>
        <w:rPr>
          <w:rFonts w:ascii="仿宋" w:eastAsia="仿宋" w:hAnsi="仿宋" w:cs="宋体" w:hint="eastAsia"/>
          <w:b/>
          <w:color w:val="333333"/>
          <w:sz w:val="32"/>
          <w:szCs w:val="32"/>
        </w:rPr>
        <w:t>第十二条</w:t>
      </w:r>
      <w:r>
        <w:rPr>
          <w:rFonts w:ascii="仿宋" w:eastAsia="仿宋" w:hAnsi="仿宋" w:cs="宋体" w:hint="eastAsia"/>
          <w:color w:val="333333"/>
          <w:sz w:val="32"/>
          <w:szCs w:val="32"/>
        </w:rPr>
        <w:t xml:space="preserve">  本细则由省科技厅会同省财政厅负责解释。</w:t>
      </w:r>
    </w:p>
    <w:p w:rsidR="002C7989" w:rsidRDefault="002C7989" w:rsidP="002C7989">
      <w:pPr>
        <w:shd w:val="clear" w:color="auto" w:fill="FFFFFF"/>
        <w:adjustRightInd/>
        <w:snapToGrid/>
        <w:spacing w:after="0" w:line="600" w:lineRule="exact"/>
        <w:ind w:firstLineChars="200" w:firstLine="643"/>
        <w:rPr>
          <w:rFonts w:ascii="宋体" w:eastAsia="宋体" w:hAnsi="宋体" w:cs="宋体"/>
          <w:color w:val="333333"/>
          <w:sz w:val="24"/>
          <w:szCs w:val="24"/>
          <w:u w:color="333333"/>
          <w:lang w:val="zh-TW" w:eastAsia="zh-TW"/>
        </w:rPr>
      </w:pPr>
      <w:r w:rsidRPr="00BD7A01">
        <w:rPr>
          <w:rFonts w:ascii="仿宋" w:eastAsia="仿宋" w:hAnsi="仿宋" w:cs="宋体"/>
          <w:b/>
          <w:color w:val="333333"/>
          <w:sz w:val="32"/>
          <w:szCs w:val="32"/>
        </w:rPr>
        <w:t>第十</w:t>
      </w:r>
      <w:r>
        <w:rPr>
          <w:rFonts w:ascii="仿宋" w:eastAsia="仿宋" w:hAnsi="仿宋" w:cs="宋体" w:hint="eastAsia"/>
          <w:b/>
          <w:color w:val="333333"/>
          <w:sz w:val="32"/>
          <w:szCs w:val="32"/>
        </w:rPr>
        <w:t>三</w:t>
      </w:r>
      <w:r w:rsidRPr="00BD7A01">
        <w:rPr>
          <w:rFonts w:ascii="仿宋" w:eastAsia="仿宋" w:hAnsi="仿宋" w:cs="宋体"/>
          <w:b/>
          <w:color w:val="333333"/>
          <w:sz w:val="32"/>
          <w:szCs w:val="32"/>
        </w:rPr>
        <w:t>条</w:t>
      </w:r>
      <w:r>
        <w:rPr>
          <w:rFonts w:ascii="仿宋" w:eastAsia="仿宋" w:hAnsi="仿宋" w:cs="宋体" w:hint="eastAsia"/>
          <w:color w:val="333333"/>
          <w:sz w:val="32"/>
          <w:szCs w:val="32"/>
        </w:rPr>
        <w:t xml:space="preserve">  </w:t>
      </w:r>
      <w:r w:rsidRPr="00BD7A01">
        <w:rPr>
          <w:rFonts w:ascii="仿宋" w:eastAsia="仿宋" w:hAnsi="仿宋" w:cs="宋体"/>
          <w:color w:val="333333"/>
          <w:sz w:val="32"/>
          <w:szCs w:val="32"/>
        </w:rPr>
        <w:t>本</w:t>
      </w:r>
      <w:r>
        <w:rPr>
          <w:rFonts w:ascii="仿宋" w:eastAsia="仿宋" w:hAnsi="仿宋" w:cs="宋体" w:hint="eastAsia"/>
          <w:color w:val="333333"/>
          <w:sz w:val="32"/>
          <w:szCs w:val="32"/>
        </w:rPr>
        <w:t>细则</w:t>
      </w:r>
      <w:r w:rsidRPr="00BD7A01">
        <w:rPr>
          <w:rFonts w:ascii="仿宋" w:eastAsia="仿宋" w:hAnsi="仿宋" w:cs="宋体"/>
          <w:color w:val="333333"/>
          <w:sz w:val="32"/>
          <w:szCs w:val="32"/>
        </w:rPr>
        <w:t>自颁布之日起施行</w:t>
      </w:r>
      <w:r>
        <w:rPr>
          <w:rFonts w:ascii="仿宋" w:eastAsia="仿宋" w:hAnsi="仿宋" w:cs="宋体" w:hint="eastAsia"/>
          <w:color w:val="333333"/>
          <w:sz w:val="32"/>
          <w:szCs w:val="32"/>
        </w:rPr>
        <w:t>。</w:t>
      </w:r>
    </w:p>
    <w:p w:rsidR="002C7989" w:rsidRDefault="002C7989" w:rsidP="002C7989">
      <w:pPr>
        <w:spacing w:line="220" w:lineRule="atLeast"/>
      </w:pPr>
    </w:p>
    <w:p w:rsidR="00646873" w:rsidRPr="002C7989" w:rsidRDefault="00646873">
      <w:bookmarkStart w:id="0" w:name="_GoBack"/>
      <w:bookmarkEnd w:id="0"/>
    </w:p>
    <w:sectPr w:rsidR="00646873" w:rsidRPr="002C7989" w:rsidSect="00CF590A">
      <w:pgSz w:w="11906" w:h="16838"/>
      <w:pgMar w:top="1474"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89"/>
    <w:rsid w:val="002C7989"/>
    <w:rsid w:val="00646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EB62B-8562-479E-AC28-E9618480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989"/>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2019-10-17T06:56:00Z</dcterms:created>
  <dcterms:modified xsi:type="dcterms:W3CDTF">2019-10-17T06:56:00Z</dcterms:modified>
</cp:coreProperties>
</file>