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E8" w:rsidRDefault="00270E3F">
      <w:pPr>
        <w:pStyle w:val="1"/>
        <w:spacing w:before="0" w:after="0" w:line="480" w:lineRule="auto"/>
        <w:rPr>
          <w:rStyle w:val="2Char"/>
          <w:rFonts w:ascii="仿宋_GB2312" w:eastAsia="仿宋_GB2312" w:hAnsi="仿宋_GB2312" w:cs="仿宋_GB2312"/>
          <w:b/>
          <w:kern w:val="2"/>
        </w:rPr>
      </w:pPr>
      <w:bookmarkStart w:id="0" w:name="_GoBack"/>
      <w:bookmarkEnd w:id="0"/>
      <w:r>
        <w:rPr>
          <w:rStyle w:val="2Char"/>
          <w:rFonts w:ascii="仿宋_GB2312" w:eastAsia="仿宋_GB2312" w:hAnsi="仿宋_GB2312" w:cs="仿宋_GB2312" w:hint="eastAsia"/>
          <w:b/>
          <w:kern w:val="2"/>
        </w:rPr>
        <w:t>附件</w:t>
      </w:r>
      <w:r>
        <w:rPr>
          <w:rStyle w:val="2Char"/>
          <w:rFonts w:ascii="仿宋_GB2312" w:eastAsia="仿宋_GB2312" w:hAnsi="仿宋_GB2312" w:cs="仿宋_GB2312" w:hint="eastAsia"/>
          <w:b/>
          <w:kern w:val="2"/>
        </w:rPr>
        <w:t>3</w:t>
      </w:r>
    </w:p>
    <w:p w:rsidR="006137E8" w:rsidRDefault="00270E3F">
      <w:pPr>
        <w:pStyle w:val="1"/>
        <w:spacing w:before="0" w:after="0" w:line="560" w:lineRule="exact"/>
        <w:jc w:val="center"/>
        <w:rPr>
          <w:rStyle w:val="2Char"/>
          <w:rFonts w:ascii="方正小标宋简体" w:eastAsia="方正小标宋简体"/>
          <w:b/>
          <w:kern w:val="2"/>
          <w:sz w:val="44"/>
          <w:szCs w:val="44"/>
        </w:rPr>
      </w:pPr>
      <w:r>
        <w:rPr>
          <w:rStyle w:val="2Char"/>
          <w:rFonts w:ascii="方正小标宋简体" w:eastAsia="方正小标宋简体" w:hint="eastAsia"/>
          <w:b/>
          <w:kern w:val="2"/>
          <w:sz w:val="44"/>
          <w:szCs w:val="44"/>
        </w:rPr>
        <w:t>2019</w:t>
      </w:r>
      <w:r>
        <w:rPr>
          <w:rStyle w:val="2Char"/>
          <w:rFonts w:ascii="方正小标宋简体" w:eastAsia="方正小标宋简体" w:hint="eastAsia"/>
          <w:b/>
          <w:kern w:val="2"/>
          <w:sz w:val="44"/>
          <w:szCs w:val="44"/>
        </w:rPr>
        <w:t>年“创客中国”山东省中小企业创新创业大赛</w:t>
      </w:r>
      <w:r>
        <w:rPr>
          <w:rStyle w:val="2Char"/>
          <w:rFonts w:ascii="方正小标宋简体" w:eastAsia="方正小标宋简体"/>
          <w:b/>
          <w:kern w:val="2"/>
          <w:sz w:val="44"/>
          <w:szCs w:val="44"/>
        </w:rPr>
        <w:t>评审标准</w:t>
      </w:r>
    </w:p>
    <w:p w:rsidR="006137E8" w:rsidRDefault="00270E3F">
      <w:pPr>
        <w:spacing w:line="560" w:lineRule="exact"/>
        <w:jc w:val="center"/>
        <w:rPr>
          <w:b/>
          <w:sz w:val="32"/>
          <w:szCs w:val="32"/>
        </w:rPr>
      </w:pPr>
      <w:r>
        <w:rPr>
          <w:rFonts w:hint="eastAsia"/>
          <w:b/>
          <w:sz w:val="32"/>
          <w:szCs w:val="32"/>
        </w:rPr>
        <w:t>企业组</w:t>
      </w:r>
    </w:p>
    <w:tbl>
      <w:tblPr>
        <w:tblStyle w:val="a5"/>
        <w:tblW w:w="9498" w:type="dxa"/>
        <w:tblInd w:w="-459" w:type="dxa"/>
        <w:tblLayout w:type="fixed"/>
        <w:tblLook w:val="04A0" w:firstRow="1" w:lastRow="0" w:firstColumn="1" w:lastColumn="0" w:noHBand="0" w:noVBand="1"/>
      </w:tblPr>
      <w:tblGrid>
        <w:gridCol w:w="1134"/>
        <w:gridCol w:w="5316"/>
        <w:gridCol w:w="1630"/>
        <w:gridCol w:w="709"/>
        <w:gridCol w:w="709"/>
      </w:tblGrid>
      <w:tr w:rsidR="006137E8">
        <w:tc>
          <w:tcPr>
            <w:tcW w:w="1134" w:type="dxa"/>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评审要点</w:t>
            </w:r>
          </w:p>
        </w:tc>
        <w:tc>
          <w:tcPr>
            <w:tcW w:w="5316" w:type="dxa"/>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评审内容</w:t>
            </w:r>
          </w:p>
        </w:tc>
        <w:tc>
          <w:tcPr>
            <w:tcW w:w="1630" w:type="dxa"/>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分值项</w:t>
            </w:r>
          </w:p>
        </w:tc>
        <w:tc>
          <w:tcPr>
            <w:tcW w:w="709" w:type="dxa"/>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分数项</w:t>
            </w:r>
          </w:p>
        </w:tc>
        <w:tc>
          <w:tcPr>
            <w:tcW w:w="709" w:type="dxa"/>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模块分</w:t>
            </w:r>
          </w:p>
        </w:tc>
      </w:tr>
      <w:tr w:rsidR="006137E8">
        <w:trPr>
          <w:trHeight w:val="990"/>
        </w:trPr>
        <w:tc>
          <w:tcPr>
            <w:tcW w:w="1134" w:type="dxa"/>
            <w:vMerge w:val="restart"/>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技术能力</w:t>
            </w:r>
          </w:p>
        </w:tc>
        <w:tc>
          <w:tcPr>
            <w:tcW w:w="5316" w:type="dxa"/>
            <w:vMerge w:val="restart"/>
            <w:vAlign w:val="center"/>
          </w:tcPr>
          <w:p w:rsidR="006137E8" w:rsidRDefault="00270E3F">
            <w:pPr>
              <w:spacing w:line="360" w:lineRule="auto"/>
              <w:rPr>
                <w:rFonts w:ascii="宋体" w:hAnsi="宋体"/>
                <w:szCs w:val="21"/>
              </w:rPr>
            </w:pPr>
            <w:r>
              <w:rPr>
                <w:rFonts w:ascii="宋体" w:hAnsi="宋体" w:hint="eastAsia"/>
                <w:szCs w:val="21"/>
              </w:rPr>
              <w:t>①阐明产品（服务）的独特性、领先性、竞争优势及实现产业化的可能途径；</w:t>
            </w:r>
          </w:p>
          <w:p w:rsidR="006137E8" w:rsidRDefault="00270E3F">
            <w:pPr>
              <w:spacing w:line="360" w:lineRule="auto"/>
              <w:rPr>
                <w:rFonts w:ascii="宋体" w:hAnsi="宋体"/>
                <w:szCs w:val="21"/>
              </w:rPr>
            </w:pPr>
            <w:r>
              <w:rPr>
                <w:rFonts w:ascii="宋体" w:hAnsi="宋体" w:hint="eastAsia"/>
                <w:szCs w:val="21"/>
              </w:rPr>
              <w:t>②说明项目单位掌握本行业或领域领先的保护性核心技术情况、研究开发组织管理水平和科技成果转化能力情况、专业技术人才和研发团队情况。</w:t>
            </w:r>
          </w:p>
          <w:p w:rsidR="006137E8" w:rsidRDefault="00270E3F">
            <w:pPr>
              <w:spacing w:line="360" w:lineRule="auto"/>
              <w:rPr>
                <w:rFonts w:ascii="宋体" w:hAnsi="宋体"/>
                <w:szCs w:val="21"/>
              </w:rPr>
            </w:pPr>
            <w:r>
              <w:rPr>
                <w:rFonts w:ascii="宋体" w:hAnsi="宋体" w:hint="eastAsia"/>
                <w:szCs w:val="21"/>
              </w:rPr>
              <w:t>③项目具有实用环保性。</w:t>
            </w: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创新性</w:t>
            </w:r>
            <w:r>
              <w:rPr>
                <w:rFonts w:ascii="宋体" w:hAnsi="宋体" w:hint="eastAsia"/>
                <w:szCs w:val="21"/>
              </w:rPr>
              <w:t>/</w:t>
            </w:r>
            <w:r>
              <w:rPr>
                <w:rFonts w:ascii="宋体" w:hAnsi="宋体" w:hint="eastAsia"/>
                <w:szCs w:val="21"/>
              </w:rPr>
              <w:t>先进性</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709" w:type="dxa"/>
            <w:vMerge w:val="restart"/>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35</w:t>
            </w:r>
          </w:p>
        </w:tc>
      </w:tr>
      <w:tr w:rsidR="006137E8">
        <w:trPr>
          <w:trHeight w:val="645"/>
        </w:trPr>
        <w:tc>
          <w:tcPr>
            <w:tcW w:w="1134" w:type="dxa"/>
            <w:vMerge/>
            <w:vAlign w:val="center"/>
          </w:tcPr>
          <w:p w:rsidR="006137E8" w:rsidRDefault="006137E8">
            <w:pPr>
              <w:spacing w:line="276" w:lineRule="auto"/>
              <w:jc w:val="center"/>
              <w:rPr>
                <w:rFonts w:asciiTheme="majorEastAsia" w:eastAsiaTheme="majorEastAsia" w:hAnsiTheme="majorEastAsia"/>
                <w:b/>
                <w:szCs w:val="21"/>
              </w:rPr>
            </w:pPr>
          </w:p>
        </w:tc>
        <w:tc>
          <w:tcPr>
            <w:tcW w:w="5316" w:type="dxa"/>
            <w:vMerge/>
            <w:vAlign w:val="center"/>
          </w:tcPr>
          <w:p w:rsidR="006137E8" w:rsidRDefault="006137E8">
            <w:pPr>
              <w:spacing w:line="360" w:lineRule="auto"/>
              <w:rPr>
                <w:rFonts w:ascii="宋体" w:hAnsi="宋体"/>
                <w:szCs w:val="21"/>
              </w:rPr>
            </w:pP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技术</w:t>
            </w:r>
            <w:r>
              <w:rPr>
                <w:rFonts w:ascii="宋体" w:hAnsi="宋体" w:hint="eastAsia"/>
                <w:szCs w:val="21"/>
              </w:rPr>
              <w:t>/</w:t>
            </w:r>
            <w:r>
              <w:rPr>
                <w:rFonts w:ascii="宋体" w:hAnsi="宋体" w:hint="eastAsia"/>
                <w:szCs w:val="21"/>
              </w:rPr>
              <w:t>产品竞争力</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709" w:type="dxa"/>
            <w:vMerge/>
            <w:vAlign w:val="center"/>
          </w:tcPr>
          <w:p w:rsidR="006137E8" w:rsidRDefault="006137E8">
            <w:pPr>
              <w:spacing w:line="276" w:lineRule="auto"/>
              <w:jc w:val="center"/>
              <w:rPr>
                <w:rFonts w:asciiTheme="majorEastAsia" w:eastAsiaTheme="majorEastAsia" w:hAnsiTheme="majorEastAsia"/>
                <w:szCs w:val="21"/>
              </w:rPr>
            </w:pPr>
          </w:p>
        </w:tc>
      </w:tr>
      <w:tr w:rsidR="006137E8">
        <w:trPr>
          <w:trHeight w:val="477"/>
        </w:trPr>
        <w:tc>
          <w:tcPr>
            <w:tcW w:w="1134" w:type="dxa"/>
            <w:vMerge/>
            <w:vAlign w:val="center"/>
          </w:tcPr>
          <w:p w:rsidR="006137E8" w:rsidRDefault="006137E8">
            <w:pPr>
              <w:spacing w:line="276" w:lineRule="auto"/>
              <w:jc w:val="center"/>
              <w:rPr>
                <w:rFonts w:asciiTheme="majorEastAsia" w:eastAsiaTheme="majorEastAsia" w:hAnsiTheme="majorEastAsia"/>
                <w:b/>
                <w:szCs w:val="21"/>
              </w:rPr>
            </w:pPr>
          </w:p>
        </w:tc>
        <w:tc>
          <w:tcPr>
            <w:tcW w:w="5316" w:type="dxa"/>
            <w:vMerge/>
            <w:vAlign w:val="center"/>
          </w:tcPr>
          <w:p w:rsidR="006137E8" w:rsidRDefault="006137E8">
            <w:pPr>
              <w:spacing w:line="360" w:lineRule="auto"/>
              <w:rPr>
                <w:rFonts w:ascii="宋体" w:hAnsi="宋体"/>
                <w:szCs w:val="21"/>
              </w:rPr>
            </w:pP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实用环保</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709" w:type="dxa"/>
            <w:vMerge/>
            <w:vAlign w:val="center"/>
          </w:tcPr>
          <w:p w:rsidR="006137E8" w:rsidRDefault="006137E8">
            <w:pPr>
              <w:spacing w:line="276" w:lineRule="auto"/>
              <w:jc w:val="center"/>
              <w:rPr>
                <w:rFonts w:asciiTheme="majorEastAsia" w:eastAsiaTheme="majorEastAsia" w:hAnsiTheme="majorEastAsia"/>
                <w:szCs w:val="21"/>
              </w:rPr>
            </w:pPr>
          </w:p>
        </w:tc>
      </w:tr>
      <w:tr w:rsidR="006137E8">
        <w:trPr>
          <w:trHeight w:val="1980"/>
        </w:trPr>
        <w:tc>
          <w:tcPr>
            <w:tcW w:w="1134" w:type="dxa"/>
            <w:vMerge w:val="restart"/>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商业能力</w:t>
            </w:r>
          </w:p>
        </w:tc>
        <w:tc>
          <w:tcPr>
            <w:tcW w:w="5316" w:type="dxa"/>
            <w:vMerge w:val="restart"/>
            <w:vAlign w:val="center"/>
          </w:tcPr>
          <w:p w:rsidR="006137E8" w:rsidRDefault="00270E3F">
            <w:pPr>
              <w:pStyle w:val="10"/>
              <w:numPr>
                <w:ilvl w:val="0"/>
                <w:numId w:val="1"/>
              </w:numPr>
              <w:spacing w:line="360" w:lineRule="auto"/>
              <w:ind w:firstLineChars="0"/>
              <w:rPr>
                <w:rFonts w:ascii="宋体" w:hAnsi="宋体"/>
                <w:szCs w:val="21"/>
              </w:rPr>
            </w:pPr>
            <w:r>
              <w:rPr>
                <w:rFonts w:ascii="宋体" w:hAnsi="宋体" w:hint="eastAsia"/>
                <w:szCs w:val="21"/>
              </w:rPr>
              <w:t>市场前景方面：如是否已获得融资等；</w:t>
            </w:r>
          </w:p>
          <w:p w:rsidR="006137E8" w:rsidRDefault="00270E3F">
            <w:pPr>
              <w:spacing w:line="360" w:lineRule="auto"/>
              <w:rPr>
                <w:rFonts w:ascii="宋体" w:hAnsi="宋体"/>
                <w:szCs w:val="21"/>
              </w:rPr>
            </w:pPr>
            <w:r>
              <w:rPr>
                <w:rFonts w:ascii="宋体" w:hAnsi="宋体" w:hint="eastAsia"/>
                <w:szCs w:val="21"/>
              </w:rPr>
              <w:t>②商业模式方面：强调项目设计的完整性与可行性，并给出完整的商业模式描述，以及在机会识别与利用、竞争与合作、技术基础、产品或服务设计、资金及人员需求、现行法律法规限制等方面需具有可行性；</w:t>
            </w:r>
          </w:p>
          <w:p w:rsidR="006137E8" w:rsidRDefault="00270E3F">
            <w:pPr>
              <w:spacing w:line="360" w:lineRule="auto"/>
              <w:rPr>
                <w:rFonts w:ascii="宋体" w:hAnsi="宋体"/>
                <w:szCs w:val="21"/>
              </w:rPr>
            </w:pPr>
            <w:r>
              <w:rPr>
                <w:rFonts w:ascii="宋体" w:hAnsi="宋体" w:hint="eastAsia"/>
                <w:szCs w:val="21"/>
              </w:rPr>
              <w:t>③成长性方面：项目目标市场容量大小及可扩展性以及该项目是否有合适的计划和可能性（包括人力资源、资金、技术等方面）支持其未来</w:t>
            </w:r>
            <w:r>
              <w:rPr>
                <w:rFonts w:ascii="宋体" w:hAnsi="宋体" w:hint="eastAsia"/>
                <w:szCs w:val="21"/>
              </w:rPr>
              <w:t>5</w:t>
            </w:r>
            <w:r>
              <w:rPr>
                <w:rFonts w:ascii="宋体" w:hAnsi="宋体" w:hint="eastAsia"/>
                <w:szCs w:val="21"/>
              </w:rPr>
              <w:t>年的高速成长；</w:t>
            </w:r>
          </w:p>
          <w:p w:rsidR="006137E8" w:rsidRDefault="00270E3F">
            <w:pPr>
              <w:spacing w:line="360" w:lineRule="auto"/>
              <w:rPr>
                <w:rFonts w:ascii="宋体" w:hAnsi="宋体"/>
                <w:szCs w:val="21"/>
              </w:rPr>
            </w:pPr>
            <w:r>
              <w:rPr>
                <w:rFonts w:ascii="宋体" w:hAnsi="宋体" w:hint="eastAsia"/>
                <w:szCs w:val="21"/>
              </w:rPr>
              <w:t>④盈利能力方面：项目存续时间、项目的营业收入、税收上缴、持续盈利能力、市场份额等情况；结合项目特点制定合适的市场营销策略，带来良性的业务利润。</w:t>
            </w: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市场前景</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709" w:type="dxa"/>
            <w:vMerge w:val="restart"/>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40</w:t>
            </w:r>
          </w:p>
        </w:tc>
      </w:tr>
      <w:tr w:rsidR="006137E8">
        <w:trPr>
          <w:trHeight w:val="1395"/>
        </w:trPr>
        <w:tc>
          <w:tcPr>
            <w:tcW w:w="1134" w:type="dxa"/>
            <w:vMerge/>
            <w:vAlign w:val="center"/>
          </w:tcPr>
          <w:p w:rsidR="006137E8" w:rsidRDefault="006137E8">
            <w:pPr>
              <w:spacing w:line="276" w:lineRule="auto"/>
              <w:jc w:val="center"/>
              <w:rPr>
                <w:rFonts w:asciiTheme="majorEastAsia" w:eastAsiaTheme="majorEastAsia" w:hAnsiTheme="majorEastAsia"/>
                <w:b/>
                <w:szCs w:val="21"/>
              </w:rPr>
            </w:pPr>
          </w:p>
        </w:tc>
        <w:tc>
          <w:tcPr>
            <w:tcW w:w="5316" w:type="dxa"/>
            <w:vMerge/>
            <w:vAlign w:val="center"/>
          </w:tcPr>
          <w:p w:rsidR="006137E8" w:rsidRDefault="006137E8">
            <w:pPr>
              <w:spacing w:line="360" w:lineRule="auto"/>
              <w:rPr>
                <w:rFonts w:asciiTheme="majorEastAsia" w:eastAsiaTheme="majorEastAsia" w:hAnsiTheme="majorEastAsia"/>
                <w:szCs w:val="21"/>
              </w:rPr>
            </w:pP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商业模式</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709" w:type="dxa"/>
            <w:vMerge/>
            <w:vAlign w:val="center"/>
          </w:tcPr>
          <w:p w:rsidR="006137E8" w:rsidRDefault="006137E8">
            <w:pPr>
              <w:spacing w:line="276" w:lineRule="auto"/>
              <w:jc w:val="center"/>
              <w:rPr>
                <w:rFonts w:asciiTheme="majorEastAsia" w:eastAsiaTheme="majorEastAsia" w:hAnsiTheme="majorEastAsia"/>
                <w:szCs w:val="21"/>
              </w:rPr>
            </w:pPr>
          </w:p>
        </w:tc>
      </w:tr>
      <w:tr w:rsidR="006137E8">
        <w:trPr>
          <w:trHeight w:val="561"/>
        </w:trPr>
        <w:tc>
          <w:tcPr>
            <w:tcW w:w="1134" w:type="dxa"/>
            <w:vMerge/>
            <w:vAlign w:val="center"/>
          </w:tcPr>
          <w:p w:rsidR="006137E8" w:rsidRDefault="006137E8">
            <w:pPr>
              <w:spacing w:line="276" w:lineRule="auto"/>
              <w:jc w:val="center"/>
              <w:rPr>
                <w:rFonts w:asciiTheme="majorEastAsia" w:eastAsiaTheme="majorEastAsia" w:hAnsiTheme="majorEastAsia"/>
                <w:b/>
                <w:szCs w:val="21"/>
              </w:rPr>
            </w:pPr>
          </w:p>
        </w:tc>
        <w:tc>
          <w:tcPr>
            <w:tcW w:w="5316" w:type="dxa"/>
            <w:vMerge/>
            <w:vAlign w:val="center"/>
          </w:tcPr>
          <w:p w:rsidR="006137E8" w:rsidRDefault="006137E8">
            <w:pPr>
              <w:spacing w:line="360" w:lineRule="auto"/>
              <w:rPr>
                <w:rFonts w:asciiTheme="majorEastAsia" w:eastAsiaTheme="majorEastAsia" w:hAnsiTheme="majorEastAsia"/>
                <w:szCs w:val="21"/>
              </w:rPr>
            </w:pP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成长速度及盈利能力</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709" w:type="dxa"/>
            <w:vMerge/>
            <w:vAlign w:val="center"/>
          </w:tcPr>
          <w:p w:rsidR="006137E8" w:rsidRDefault="006137E8">
            <w:pPr>
              <w:spacing w:line="276" w:lineRule="auto"/>
              <w:jc w:val="center"/>
              <w:rPr>
                <w:rFonts w:asciiTheme="majorEastAsia" w:eastAsiaTheme="majorEastAsia" w:hAnsiTheme="majorEastAsia"/>
                <w:szCs w:val="21"/>
              </w:rPr>
            </w:pPr>
          </w:p>
        </w:tc>
      </w:tr>
      <w:tr w:rsidR="006137E8">
        <w:trPr>
          <w:trHeight w:val="463"/>
        </w:trPr>
        <w:tc>
          <w:tcPr>
            <w:tcW w:w="1134" w:type="dxa"/>
            <w:vMerge w:val="restart"/>
            <w:vAlign w:val="center"/>
          </w:tcPr>
          <w:p w:rsidR="006137E8" w:rsidRDefault="00270E3F">
            <w:pPr>
              <w:spacing w:line="276" w:lineRule="auto"/>
              <w:jc w:val="center"/>
              <w:rPr>
                <w:rFonts w:asciiTheme="majorEastAsia" w:eastAsiaTheme="majorEastAsia" w:hAnsiTheme="majorEastAsia"/>
                <w:b/>
                <w:szCs w:val="21"/>
              </w:rPr>
            </w:pPr>
            <w:r>
              <w:rPr>
                <w:rFonts w:asciiTheme="majorEastAsia" w:eastAsiaTheme="majorEastAsia" w:hAnsiTheme="majorEastAsia" w:hint="eastAsia"/>
                <w:b/>
                <w:szCs w:val="21"/>
              </w:rPr>
              <w:t>团队能力</w:t>
            </w:r>
          </w:p>
        </w:tc>
        <w:tc>
          <w:tcPr>
            <w:tcW w:w="5316" w:type="dxa"/>
            <w:vMerge w:val="restart"/>
            <w:vAlign w:val="center"/>
          </w:tcPr>
          <w:p w:rsidR="006137E8" w:rsidRDefault="00270E3F">
            <w:pPr>
              <w:spacing w:line="360" w:lineRule="auto"/>
              <w:rPr>
                <w:rFonts w:asciiTheme="majorEastAsia" w:eastAsiaTheme="majorEastAsia" w:hAnsiTheme="majorEastAsia" w:cs="仿宋_GB2312"/>
                <w:szCs w:val="21"/>
              </w:rPr>
            </w:pPr>
            <w:r>
              <w:rPr>
                <w:rFonts w:asciiTheme="majorEastAsia" w:eastAsiaTheme="majorEastAsia" w:hAnsiTheme="majorEastAsia" w:cs="仿宋_GB2312" w:hint="eastAsia"/>
                <w:szCs w:val="21"/>
              </w:rPr>
              <w:t>①考察管理团队各成员的教育和工作背景、价值观念、擅长领域，成员的分工和业务互补情况；</w:t>
            </w:r>
          </w:p>
          <w:p w:rsidR="006137E8" w:rsidRDefault="00270E3F">
            <w:pPr>
              <w:spacing w:line="360" w:lineRule="auto"/>
              <w:rPr>
                <w:rFonts w:asciiTheme="majorEastAsia" w:eastAsiaTheme="majorEastAsia" w:hAnsiTheme="majorEastAsia" w:cs="仿宋_GB2312"/>
                <w:szCs w:val="21"/>
              </w:rPr>
            </w:pPr>
            <w:r>
              <w:rPr>
                <w:rFonts w:asciiTheme="majorEastAsia" w:eastAsiaTheme="majorEastAsia" w:hAnsiTheme="majorEastAsia" w:cs="仿宋_GB2312" w:hint="eastAsia"/>
                <w:szCs w:val="21"/>
              </w:rPr>
              <w:t>②公司的组织构架、人员配置安排是否科学；</w:t>
            </w:r>
          </w:p>
          <w:p w:rsidR="006137E8" w:rsidRDefault="00270E3F">
            <w:pPr>
              <w:spacing w:line="360" w:lineRule="auto"/>
              <w:rPr>
                <w:rFonts w:asciiTheme="majorEastAsia" w:eastAsiaTheme="majorEastAsia" w:hAnsiTheme="majorEastAsia" w:cs="仿宋_GB2312"/>
                <w:szCs w:val="21"/>
              </w:rPr>
            </w:pPr>
            <w:r>
              <w:rPr>
                <w:rFonts w:asciiTheme="majorEastAsia" w:eastAsiaTheme="majorEastAsia" w:hAnsiTheme="majorEastAsia" w:cs="仿宋_GB2312" w:hint="eastAsia"/>
                <w:szCs w:val="21"/>
              </w:rPr>
              <w:t>③创业顾问，主要投资人和持股情况；</w:t>
            </w: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团队实力</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709" w:type="dxa"/>
            <w:vMerge w:val="restart"/>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25</w:t>
            </w:r>
          </w:p>
        </w:tc>
      </w:tr>
      <w:tr w:rsidR="006137E8">
        <w:trPr>
          <w:trHeight w:val="465"/>
        </w:trPr>
        <w:tc>
          <w:tcPr>
            <w:tcW w:w="1134" w:type="dxa"/>
            <w:vMerge/>
            <w:vAlign w:val="center"/>
          </w:tcPr>
          <w:p w:rsidR="006137E8" w:rsidRDefault="006137E8">
            <w:pPr>
              <w:spacing w:line="276" w:lineRule="auto"/>
              <w:jc w:val="center"/>
              <w:rPr>
                <w:rFonts w:asciiTheme="majorEastAsia" w:eastAsiaTheme="majorEastAsia" w:hAnsiTheme="majorEastAsia"/>
                <w:b/>
                <w:szCs w:val="21"/>
              </w:rPr>
            </w:pPr>
          </w:p>
        </w:tc>
        <w:tc>
          <w:tcPr>
            <w:tcW w:w="5316" w:type="dxa"/>
            <w:vMerge/>
            <w:vAlign w:val="center"/>
          </w:tcPr>
          <w:p w:rsidR="006137E8" w:rsidRDefault="006137E8">
            <w:pPr>
              <w:spacing w:line="276" w:lineRule="auto"/>
              <w:rPr>
                <w:rFonts w:asciiTheme="majorEastAsia" w:eastAsiaTheme="majorEastAsia" w:hAnsiTheme="majorEastAsia" w:cs="仿宋_GB2312"/>
                <w:szCs w:val="21"/>
              </w:rPr>
            </w:pP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企业股权结构合理性</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709" w:type="dxa"/>
            <w:vMerge/>
            <w:vAlign w:val="center"/>
          </w:tcPr>
          <w:p w:rsidR="006137E8" w:rsidRDefault="006137E8">
            <w:pPr>
              <w:spacing w:line="276" w:lineRule="auto"/>
              <w:jc w:val="center"/>
              <w:rPr>
                <w:rFonts w:asciiTheme="majorEastAsia" w:eastAsiaTheme="majorEastAsia" w:hAnsiTheme="majorEastAsia"/>
                <w:szCs w:val="21"/>
              </w:rPr>
            </w:pPr>
          </w:p>
        </w:tc>
      </w:tr>
      <w:tr w:rsidR="006137E8">
        <w:trPr>
          <w:trHeight w:val="317"/>
        </w:trPr>
        <w:tc>
          <w:tcPr>
            <w:tcW w:w="1134" w:type="dxa"/>
            <w:vMerge/>
            <w:vAlign w:val="center"/>
          </w:tcPr>
          <w:p w:rsidR="006137E8" w:rsidRDefault="006137E8">
            <w:pPr>
              <w:spacing w:line="276" w:lineRule="auto"/>
              <w:jc w:val="center"/>
              <w:rPr>
                <w:rFonts w:asciiTheme="majorEastAsia" w:eastAsiaTheme="majorEastAsia" w:hAnsiTheme="majorEastAsia"/>
                <w:b/>
                <w:szCs w:val="21"/>
              </w:rPr>
            </w:pPr>
          </w:p>
        </w:tc>
        <w:tc>
          <w:tcPr>
            <w:tcW w:w="5316" w:type="dxa"/>
            <w:vMerge/>
            <w:vAlign w:val="center"/>
          </w:tcPr>
          <w:p w:rsidR="006137E8" w:rsidRDefault="006137E8">
            <w:pPr>
              <w:spacing w:line="276" w:lineRule="auto"/>
              <w:rPr>
                <w:rFonts w:asciiTheme="majorEastAsia" w:eastAsiaTheme="majorEastAsia" w:hAnsiTheme="majorEastAsia" w:cs="仿宋_GB2312"/>
                <w:szCs w:val="21"/>
              </w:rPr>
            </w:pPr>
          </w:p>
        </w:tc>
        <w:tc>
          <w:tcPr>
            <w:tcW w:w="1630" w:type="dxa"/>
            <w:vAlign w:val="center"/>
          </w:tcPr>
          <w:p w:rsidR="006137E8" w:rsidRDefault="00270E3F">
            <w:pPr>
              <w:spacing w:line="276" w:lineRule="auto"/>
              <w:jc w:val="center"/>
              <w:rPr>
                <w:rFonts w:ascii="宋体" w:hAnsi="宋体"/>
                <w:szCs w:val="21"/>
              </w:rPr>
            </w:pPr>
            <w:r>
              <w:rPr>
                <w:rFonts w:ascii="宋体" w:hAnsi="宋体" w:hint="eastAsia"/>
                <w:szCs w:val="21"/>
              </w:rPr>
              <w:t>商业计划书及融资合理性</w:t>
            </w:r>
          </w:p>
        </w:tc>
        <w:tc>
          <w:tcPr>
            <w:tcW w:w="709" w:type="dxa"/>
            <w:vAlign w:val="center"/>
          </w:tcPr>
          <w:p w:rsidR="006137E8" w:rsidRDefault="00270E3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709" w:type="dxa"/>
            <w:vMerge/>
            <w:vAlign w:val="center"/>
          </w:tcPr>
          <w:p w:rsidR="006137E8" w:rsidRDefault="006137E8">
            <w:pPr>
              <w:spacing w:line="276" w:lineRule="auto"/>
              <w:jc w:val="center"/>
              <w:rPr>
                <w:rFonts w:asciiTheme="majorEastAsia" w:eastAsiaTheme="majorEastAsia" w:hAnsiTheme="majorEastAsia"/>
                <w:szCs w:val="21"/>
              </w:rPr>
            </w:pPr>
          </w:p>
        </w:tc>
      </w:tr>
    </w:tbl>
    <w:p w:rsidR="006137E8" w:rsidRDefault="00270E3F">
      <w:pPr>
        <w:spacing w:line="276" w:lineRule="auto"/>
        <w:jc w:val="left"/>
        <w:rPr>
          <w:b/>
          <w:sz w:val="24"/>
          <w:szCs w:val="24"/>
        </w:rPr>
      </w:pPr>
      <w:r>
        <w:rPr>
          <w:rFonts w:hint="eastAsia"/>
          <w:b/>
          <w:sz w:val="24"/>
          <w:szCs w:val="24"/>
        </w:rPr>
        <w:t>注：</w:t>
      </w:r>
      <w:r>
        <w:rPr>
          <w:rFonts w:hint="eastAsia"/>
          <w:b/>
          <w:sz w:val="24"/>
          <w:szCs w:val="24"/>
        </w:rPr>
        <w:t xml:space="preserve"> </w:t>
      </w:r>
      <w:r>
        <w:rPr>
          <w:rFonts w:hint="eastAsia"/>
          <w:b/>
          <w:szCs w:val="21"/>
        </w:rPr>
        <w:t>1</w:t>
      </w:r>
      <w:r>
        <w:rPr>
          <w:rFonts w:hint="eastAsia"/>
          <w:b/>
          <w:szCs w:val="21"/>
        </w:rPr>
        <w:t>、打分采用百分制；</w:t>
      </w:r>
    </w:p>
    <w:p w:rsidR="006137E8" w:rsidRDefault="00270E3F">
      <w:pPr>
        <w:spacing w:line="276" w:lineRule="auto"/>
        <w:ind w:firstLineChars="294" w:firstLine="620"/>
        <w:rPr>
          <w:b/>
          <w:szCs w:val="21"/>
        </w:rPr>
      </w:pPr>
      <w:r>
        <w:rPr>
          <w:rFonts w:hint="eastAsia"/>
          <w:b/>
          <w:szCs w:val="21"/>
        </w:rPr>
        <w:t>2</w:t>
      </w:r>
      <w:r>
        <w:rPr>
          <w:rFonts w:hint="eastAsia"/>
          <w:b/>
          <w:szCs w:val="21"/>
        </w:rPr>
        <w:t>、每组专家成员打分的平均分为该项目的最终得分。</w:t>
      </w:r>
    </w:p>
    <w:p w:rsidR="006137E8" w:rsidRDefault="00270E3F">
      <w:pPr>
        <w:spacing w:line="480" w:lineRule="auto"/>
        <w:ind w:firstLineChars="200" w:firstLine="643"/>
        <w:jc w:val="center"/>
        <w:rPr>
          <w:b/>
          <w:sz w:val="32"/>
          <w:szCs w:val="32"/>
        </w:rPr>
      </w:pPr>
      <w:proofErr w:type="gramStart"/>
      <w:r>
        <w:rPr>
          <w:rFonts w:hint="eastAsia"/>
          <w:b/>
          <w:sz w:val="32"/>
          <w:szCs w:val="32"/>
        </w:rPr>
        <w:lastRenderedPageBreak/>
        <w:t>创客组</w:t>
      </w:r>
      <w:proofErr w:type="gramEnd"/>
    </w:p>
    <w:tbl>
      <w:tblPr>
        <w:tblStyle w:val="a5"/>
        <w:tblW w:w="9782" w:type="dxa"/>
        <w:tblInd w:w="-318" w:type="dxa"/>
        <w:tblLayout w:type="fixed"/>
        <w:tblLook w:val="04A0" w:firstRow="1" w:lastRow="0" w:firstColumn="1" w:lastColumn="0" w:noHBand="0" w:noVBand="1"/>
      </w:tblPr>
      <w:tblGrid>
        <w:gridCol w:w="1135"/>
        <w:gridCol w:w="6804"/>
        <w:gridCol w:w="851"/>
        <w:gridCol w:w="992"/>
      </w:tblGrid>
      <w:tr w:rsidR="006137E8">
        <w:tc>
          <w:tcPr>
            <w:tcW w:w="1135" w:type="dxa"/>
            <w:vAlign w:val="center"/>
          </w:tcPr>
          <w:p w:rsidR="006137E8" w:rsidRDefault="00270E3F">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评审要点</w:t>
            </w:r>
          </w:p>
        </w:tc>
        <w:tc>
          <w:tcPr>
            <w:tcW w:w="6804" w:type="dxa"/>
            <w:vAlign w:val="center"/>
          </w:tcPr>
          <w:p w:rsidR="006137E8" w:rsidRDefault="00270E3F">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评审内容</w:t>
            </w:r>
          </w:p>
        </w:tc>
        <w:tc>
          <w:tcPr>
            <w:tcW w:w="851" w:type="dxa"/>
          </w:tcPr>
          <w:p w:rsidR="006137E8" w:rsidRDefault="00270E3F">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分数项</w:t>
            </w:r>
          </w:p>
        </w:tc>
        <w:tc>
          <w:tcPr>
            <w:tcW w:w="992" w:type="dxa"/>
          </w:tcPr>
          <w:p w:rsidR="006137E8" w:rsidRDefault="00270E3F">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模块分</w:t>
            </w:r>
          </w:p>
        </w:tc>
      </w:tr>
      <w:tr w:rsidR="006137E8">
        <w:trPr>
          <w:trHeight w:val="555"/>
        </w:trPr>
        <w:tc>
          <w:tcPr>
            <w:tcW w:w="1135" w:type="dxa"/>
            <w:vMerge w:val="restart"/>
            <w:vAlign w:val="center"/>
          </w:tcPr>
          <w:p w:rsidR="006137E8" w:rsidRDefault="00270E3F">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创新性</w:t>
            </w:r>
          </w:p>
        </w:tc>
        <w:tc>
          <w:tcPr>
            <w:tcW w:w="6804" w:type="dxa"/>
            <w:vAlign w:val="center"/>
          </w:tcPr>
          <w:p w:rsidR="006137E8" w:rsidRDefault="00270E3F">
            <w:pPr>
              <w:pStyle w:val="10"/>
              <w:numPr>
                <w:ilvl w:val="0"/>
                <w:numId w:val="2"/>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创意新颖性：创意是否有其创新特征，符合国际趋势，符合国家导向，具有同步性或稀缺性。</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992" w:type="dxa"/>
            <w:vMerge w:val="restart"/>
            <w:vAlign w:val="center"/>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40</w:t>
            </w:r>
          </w:p>
        </w:tc>
      </w:tr>
      <w:tr w:rsidR="006137E8">
        <w:trPr>
          <w:trHeight w:val="684"/>
        </w:trPr>
        <w:tc>
          <w:tcPr>
            <w:tcW w:w="1135" w:type="dxa"/>
            <w:vMerge/>
            <w:vAlign w:val="center"/>
          </w:tcPr>
          <w:p w:rsidR="006137E8" w:rsidRDefault="006137E8">
            <w:pPr>
              <w:spacing w:line="360" w:lineRule="auto"/>
              <w:jc w:val="center"/>
              <w:rPr>
                <w:rFonts w:asciiTheme="majorEastAsia" w:eastAsiaTheme="majorEastAsia" w:hAnsiTheme="majorEastAsia"/>
                <w:b/>
                <w:szCs w:val="21"/>
              </w:rPr>
            </w:pPr>
          </w:p>
        </w:tc>
        <w:tc>
          <w:tcPr>
            <w:tcW w:w="6804" w:type="dxa"/>
            <w:vAlign w:val="center"/>
          </w:tcPr>
          <w:p w:rsidR="006137E8" w:rsidRDefault="00270E3F">
            <w:pPr>
              <w:pStyle w:val="10"/>
              <w:numPr>
                <w:ilvl w:val="0"/>
                <w:numId w:val="2"/>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设计独特性：工业设计或内容设计具有</w:t>
            </w:r>
            <w:proofErr w:type="gramStart"/>
            <w:r>
              <w:rPr>
                <w:rFonts w:asciiTheme="majorEastAsia" w:eastAsiaTheme="majorEastAsia" w:hAnsiTheme="majorEastAsia" w:cs="仿宋_GB2312" w:hint="eastAsia"/>
                <w:szCs w:val="21"/>
              </w:rPr>
              <w:t>强创新</w:t>
            </w:r>
            <w:proofErr w:type="gramEnd"/>
            <w:r>
              <w:rPr>
                <w:rFonts w:asciiTheme="majorEastAsia" w:eastAsiaTheme="majorEastAsia" w:hAnsiTheme="majorEastAsia" w:cs="仿宋_GB2312" w:hint="eastAsia"/>
                <w:szCs w:val="21"/>
              </w:rPr>
              <w:t>意识，同时在细节具有突出特性。</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r w:rsidR="006137E8">
        <w:trPr>
          <w:trHeight w:val="709"/>
        </w:trPr>
        <w:tc>
          <w:tcPr>
            <w:tcW w:w="1135" w:type="dxa"/>
            <w:vMerge/>
            <w:vAlign w:val="center"/>
          </w:tcPr>
          <w:p w:rsidR="006137E8" w:rsidRDefault="006137E8">
            <w:pPr>
              <w:spacing w:line="360" w:lineRule="auto"/>
              <w:jc w:val="center"/>
              <w:rPr>
                <w:rFonts w:asciiTheme="majorEastAsia" w:eastAsiaTheme="majorEastAsia" w:hAnsiTheme="majorEastAsia"/>
                <w:b/>
                <w:szCs w:val="21"/>
              </w:rPr>
            </w:pPr>
          </w:p>
        </w:tc>
        <w:tc>
          <w:tcPr>
            <w:tcW w:w="6804" w:type="dxa"/>
            <w:vAlign w:val="center"/>
          </w:tcPr>
          <w:p w:rsidR="006137E8" w:rsidRDefault="00270E3F">
            <w:pPr>
              <w:pStyle w:val="10"/>
              <w:numPr>
                <w:ilvl w:val="0"/>
                <w:numId w:val="2"/>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技术领先度：无论使用任何技术具有领先效应，在边缘计算、云计算、物联网终及人工智能等国家导向领域性具有特征。</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r w:rsidR="006137E8">
        <w:trPr>
          <w:trHeight w:val="690"/>
        </w:trPr>
        <w:tc>
          <w:tcPr>
            <w:tcW w:w="1135" w:type="dxa"/>
            <w:vMerge/>
            <w:vAlign w:val="center"/>
          </w:tcPr>
          <w:p w:rsidR="006137E8" w:rsidRDefault="006137E8">
            <w:pPr>
              <w:spacing w:line="360" w:lineRule="auto"/>
              <w:jc w:val="center"/>
              <w:rPr>
                <w:rFonts w:asciiTheme="majorEastAsia" w:eastAsiaTheme="majorEastAsia" w:hAnsiTheme="majorEastAsia"/>
                <w:b/>
                <w:szCs w:val="21"/>
              </w:rPr>
            </w:pPr>
          </w:p>
        </w:tc>
        <w:tc>
          <w:tcPr>
            <w:tcW w:w="6804" w:type="dxa"/>
            <w:vAlign w:val="center"/>
          </w:tcPr>
          <w:p w:rsidR="006137E8" w:rsidRDefault="00270E3F">
            <w:pPr>
              <w:pStyle w:val="10"/>
              <w:numPr>
                <w:ilvl w:val="0"/>
                <w:numId w:val="2"/>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开源化程度：技术开放，具有协同开发或共享协作能力的特征。</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r w:rsidR="006137E8">
        <w:trPr>
          <w:trHeight w:val="330"/>
        </w:trPr>
        <w:tc>
          <w:tcPr>
            <w:tcW w:w="1135" w:type="dxa"/>
            <w:vMerge w:val="restart"/>
            <w:vAlign w:val="center"/>
          </w:tcPr>
          <w:p w:rsidR="006137E8" w:rsidRDefault="00270E3F">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成熟度</w:t>
            </w:r>
          </w:p>
        </w:tc>
        <w:tc>
          <w:tcPr>
            <w:tcW w:w="6804" w:type="dxa"/>
            <w:vAlign w:val="center"/>
          </w:tcPr>
          <w:p w:rsidR="006137E8" w:rsidRDefault="00270E3F">
            <w:pPr>
              <w:pStyle w:val="10"/>
              <w:numPr>
                <w:ilvl w:val="0"/>
                <w:numId w:val="3"/>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技术</w:t>
            </w:r>
            <w:r>
              <w:rPr>
                <w:rFonts w:asciiTheme="majorEastAsia" w:eastAsiaTheme="majorEastAsia" w:hAnsiTheme="majorEastAsia" w:cs="仿宋_GB2312" w:hint="eastAsia"/>
                <w:szCs w:val="21"/>
              </w:rPr>
              <w:t>/</w:t>
            </w:r>
            <w:r>
              <w:rPr>
                <w:rFonts w:asciiTheme="majorEastAsia" w:eastAsiaTheme="majorEastAsia" w:hAnsiTheme="majorEastAsia" w:cs="仿宋_GB2312" w:hint="eastAsia"/>
                <w:szCs w:val="21"/>
              </w:rPr>
              <w:t>产品成熟度：发展较为长期，至少研发</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年，中试满一年、产品发布</w:t>
            </w:r>
            <w:r>
              <w:rPr>
                <w:rFonts w:asciiTheme="majorEastAsia" w:eastAsiaTheme="majorEastAsia" w:hAnsiTheme="majorEastAsia" w:cs="仿宋_GB2312" w:hint="eastAsia"/>
                <w:szCs w:val="21"/>
              </w:rPr>
              <w:t>2</w:t>
            </w:r>
            <w:r>
              <w:rPr>
                <w:rFonts w:asciiTheme="majorEastAsia" w:eastAsiaTheme="majorEastAsia" w:hAnsiTheme="majorEastAsia" w:cs="仿宋_GB2312" w:hint="eastAsia"/>
                <w:szCs w:val="21"/>
              </w:rPr>
              <w:t>年为相对优异。</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992" w:type="dxa"/>
            <w:vMerge w:val="restart"/>
            <w:vAlign w:val="center"/>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40</w:t>
            </w:r>
          </w:p>
        </w:tc>
      </w:tr>
      <w:tr w:rsidR="006137E8">
        <w:trPr>
          <w:trHeight w:val="465"/>
        </w:trPr>
        <w:tc>
          <w:tcPr>
            <w:tcW w:w="1135" w:type="dxa"/>
            <w:vMerge/>
            <w:vAlign w:val="center"/>
          </w:tcPr>
          <w:p w:rsidR="006137E8" w:rsidRDefault="006137E8">
            <w:pPr>
              <w:spacing w:line="360" w:lineRule="auto"/>
              <w:jc w:val="center"/>
              <w:rPr>
                <w:rFonts w:asciiTheme="majorEastAsia" w:eastAsiaTheme="majorEastAsia" w:hAnsiTheme="majorEastAsia"/>
                <w:b/>
                <w:szCs w:val="21"/>
              </w:rPr>
            </w:pPr>
          </w:p>
        </w:tc>
        <w:tc>
          <w:tcPr>
            <w:tcW w:w="6804" w:type="dxa"/>
            <w:vAlign w:val="center"/>
          </w:tcPr>
          <w:p w:rsidR="006137E8" w:rsidRDefault="00270E3F">
            <w:pPr>
              <w:pStyle w:val="10"/>
              <w:numPr>
                <w:ilvl w:val="0"/>
                <w:numId w:val="3"/>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市场前景及商业化概率：市场具有主流趋势，同时可以进行规模商业化，并能吸引相关投资。</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r w:rsidR="006137E8">
        <w:trPr>
          <w:trHeight w:val="600"/>
        </w:trPr>
        <w:tc>
          <w:tcPr>
            <w:tcW w:w="1135" w:type="dxa"/>
            <w:vMerge w:val="restart"/>
            <w:vAlign w:val="center"/>
          </w:tcPr>
          <w:p w:rsidR="006137E8" w:rsidRDefault="00270E3F">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实用性</w:t>
            </w:r>
          </w:p>
        </w:tc>
        <w:tc>
          <w:tcPr>
            <w:tcW w:w="6804" w:type="dxa"/>
            <w:vAlign w:val="center"/>
          </w:tcPr>
          <w:p w:rsidR="006137E8" w:rsidRDefault="00270E3F">
            <w:pPr>
              <w:pStyle w:val="10"/>
              <w:numPr>
                <w:ilvl w:val="0"/>
                <w:numId w:val="4"/>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简单易用：是否以用户为核心，同时具有人性化设计和简约功能，或满足互联网基本使用习惯，具有核心功能。</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992" w:type="dxa"/>
            <w:vMerge w:val="restart"/>
            <w:vAlign w:val="center"/>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r>
      <w:tr w:rsidR="006137E8">
        <w:trPr>
          <w:trHeight w:val="540"/>
        </w:trPr>
        <w:tc>
          <w:tcPr>
            <w:tcW w:w="1135" w:type="dxa"/>
            <w:vMerge/>
            <w:vAlign w:val="center"/>
          </w:tcPr>
          <w:p w:rsidR="006137E8" w:rsidRDefault="006137E8">
            <w:pPr>
              <w:spacing w:line="360" w:lineRule="auto"/>
              <w:jc w:val="center"/>
              <w:rPr>
                <w:rFonts w:asciiTheme="majorEastAsia" w:eastAsiaTheme="majorEastAsia" w:hAnsiTheme="majorEastAsia"/>
                <w:b/>
                <w:szCs w:val="21"/>
                <w:highlight w:val="yellow"/>
              </w:rPr>
            </w:pPr>
          </w:p>
        </w:tc>
        <w:tc>
          <w:tcPr>
            <w:tcW w:w="6804" w:type="dxa"/>
            <w:vAlign w:val="center"/>
          </w:tcPr>
          <w:p w:rsidR="006137E8" w:rsidRDefault="00270E3F">
            <w:pPr>
              <w:pStyle w:val="10"/>
              <w:numPr>
                <w:ilvl w:val="0"/>
                <w:numId w:val="4"/>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功能合理：功能符合市场规律，同时有效实现产品定位的基本目标。</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r w:rsidR="006137E8">
        <w:trPr>
          <w:trHeight w:val="540"/>
        </w:trPr>
        <w:tc>
          <w:tcPr>
            <w:tcW w:w="1135" w:type="dxa"/>
            <w:vMerge/>
            <w:vAlign w:val="center"/>
          </w:tcPr>
          <w:p w:rsidR="006137E8" w:rsidRDefault="006137E8">
            <w:pPr>
              <w:spacing w:line="360" w:lineRule="auto"/>
              <w:jc w:val="center"/>
              <w:rPr>
                <w:rFonts w:asciiTheme="majorEastAsia" w:eastAsiaTheme="majorEastAsia" w:hAnsiTheme="majorEastAsia"/>
                <w:b/>
                <w:szCs w:val="21"/>
                <w:highlight w:val="yellow"/>
              </w:rPr>
            </w:pPr>
          </w:p>
        </w:tc>
        <w:tc>
          <w:tcPr>
            <w:tcW w:w="6804" w:type="dxa"/>
            <w:vAlign w:val="center"/>
          </w:tcPr>
          <w:p w:rsidR="006137E8" w:rsidRDefault="00270E3F">
            <w:pPr>
              <w:pStyle w:val="10"/>
              <w:numPr>
                <w:ilvl w:val="0"/>
                <w:numId w:val="4"/>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安全可靠：产品具有自身安全性，同时具有安全预警功能或流程。同时符合国家相关技术标准或满足通过各级安全认证的条件。同时互联网方案具有支付安全性或客户信息安全的相关保障。</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r w:rsidR="006137E8">
        <w:tc>
          <w:tcPr>
            <w:tcW w:w="1135" w:type="dxa"/>
            <w:vMerge w:val="restart"/>
            <w:vAlign w:val="center"/>
          </w:tcPr>
          <w:p w:rsidR="006137E8" w:rsidRDefault="00270E3F">
            <w:pPr>
              <w:spacing w:line="360" w:lineRule="auto"/>
              <w:jc w:val="center"/>
              <w:rPr>
                <w:rFonts w:asciiTheme="majorEastAsia" w:eastAsiaTheme="majorEastAsia" w:hAnsiTheme="majorEastAsia"/>
                <w:b/>
                <w:szCs w:val="21"/>
                <w:highlight w:val="yellow"/>
              </w:rPr>
            </w:pPr>
            <w:r>
              <w:rPr>
                <w:rFonts w:asciiTheme="majorEastAsia" w:eastAsiaTheme="majorEastAsia" w:hAnsiTheme="majorEastAsia" w:hint="eastAsia"/>
                <w:b/>
                <w:szCs w:val="21"/>
              </w:rPr>
              <w:t>环保性</w:t>
            </w:r>
          </w:p>
        </w:tc>
        <w:tc>
          <w:tcPr>
            <w:tcW w:w="6804" w:type="dxa"/>
            <w:vAlign w:val="center"/>
          </w:tcPr>
          <w:p w:rsidR="006137E8" w:rsidRDefault="00270E3F">
            <w:pPr>
              <w:pStyle w:val="10"/>
              <w:numPr>
                <w:ilvl w:val="0"/>
                <w:numId w:val="5"/>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有毒有害物质限量：产品相关有害物质成分识别和标准，如互联网产品则定位于符合党和国家倡导的相关要求。</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992" w:type="dxa"/>
            <w:vMerge w:val="restart"/>
            <w:vAlign w:val="center"/>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r>
      <w:tr w:rsidR="006137E8">
        <w:tc>
          <w:tcPr>
            <w:tcW w:w="1135" w:type="dxa"/>
            <w:vMerge/>
            <w:vAlign w:val="center"/>
          </w:tcPr>
          <w:p w:rsidR="006137E8" w:rsidRDefault="006137E8">
            <w:pPr>
              <w:spacing w:line="360" w:lineRule="auto"/>
              <w:jc w:val="center"/>
              <w:rPr>
                <w:rFonts w:asciiTheme="majorEastAsia" w:eastAsiaTheme="majorEastAsia" w:hAnsiTheme="majorEastAsia"/>
                <w:b/>
                <w:szCs w:val="21"/>
              </w:rPr>
            </w:pPr>
          </w:p>
        </w:tc>
        <w:tc>
          <w:tcPr>
            <w:tcW w:w="6804" w:type="dxa"/>
            <w:vAlign w:val="center"/>
          </w:tcPr>
          <w:p w:rsidR="006137E8" w:rsidRDefault="00270E3F">
            <w:pPr>
              <w:pStyle w:val="10"/>
              <w:numPr>
                <w:ilvl w:val="0"/>
                <w:numId w:val="5"/>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节能设计：产品自身具有节能功能和设计，同时可以降低能耗。互联网产品则针对于其是否可以降低能耗和环保等。</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r w:rsidR="006137E8">
        <w:tc>
          <w:tcPr>
            <w:tcW w:w="1135" w:type="dxa"/>
            <w:vMerge/>
            <w:vAlign w:val="center"/>
          </w:tcPr>
          <w:p w:rsidR="006137E8" w:rsidRDefault="006137E8">
            <w:pPr>
              <w:spacing w:line="360" w:lineRule="auto"/>
              <w:jc w:val="center"/>
              <w:rPr>
                <w:rFonts w:asciiTheme="majorEastAsia" w:eastAsiaTheme="majorEastAsia" w:hAnsiTheme="majorEastAsia"/>
                <w:b/>
                <w:szCs w:val="21"/>
              </w:rPr>
            </w:pPr>
          </w:p>
        </w:tc>
        <w:tc>
          <w:tcPr>
            <w:tcW w:w="6804" w:type="dxa"/>
            <w:vAlign w:val="center"/>
          </w:tcPr>
          <w:p w:rsidR="006137E8" w:rsidRDefault="00270E3F">
            <w:pPr>
              <w:pStyle w:val="10"/>
              <w:numPr>
                <w:ilvl w:val="0"/>
                <w:numId w:val="3"/>
              </w:numPr>
              <w:spacing w:line="360" w:lineRule="auto"/>
              <w:ind w:firstLineChars="0"/>
              <w:rPr>
                <w:rFonts w:asciiTheme="majorEastAsia" w:eastAsiaTheme="majorEastAsia" w:hAnsiTheme="majorEastAsia" w:cs="仿宋_GB2312"/>
                <w:szCs w:val="21"/>
              </w:rPr>
            </w:pPr>
            <w:r>
              <w:rPr>
                <w:rFonts w:asciiTheme="majorEastAsia" w:eastAsiaTheme="majorEastAsia" w:hAnsiTheme="majorEastAsia" w:cs="仿宋_GB2312" w:hint="eastAsia"/>
                <w:szCs w:val="21"/>
              </w:rPr>
              <w:t xml:space="preserve"> </w:t>
            </w:r>
            <w:r>
              <w:rPr>
                <w:rFonts w:asciiTheme="majorEastAsia" w:eastAsiaTheme="majorEastAsia" w:hAnsiTheme="majorEastAsia" w:cs="仿宋_GB2312" w:hint="eastAsia"/>
                <w:szCs w:val="21"/>
              </w:rPr>
              <w:t>减量化设计：如自身具有一定危害，有明确的减量规范、流程。互联网产品则针对于环保的预期目标和其他。</w:t>
            </w:r>
          </w:p>
        </w:tc>
        <w:tc>
          <w:tcPr>
            <w:tcW w:w="851" w:type="dxa"/>
          </w:tcPr>
          <w:p w:rsidR="006137E8" w:rsidRDefault="00270E3F">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992" w:type="dxa"/>
            <w:vMerge/>
            <w:vAlign w:val="center"/>
          </w:tcPr>
          <w:p w:rsidR="006137E8" w:rsidRDefault="006137E8">
            <w:pPr>
              <w:spacing w:line="360" w:lineRule="auto"/>
              <w:jc w:val="center"/>
              <w:rPr>
                <w:rFonts w:asciiTheme="majorEastAsia" w:eastAsiaTheme="majorEastAsia" w:hAnsiTheme="majorEastAsia"/>
                <w:szCs w:val="21"/>
              </w:rPr>
            </w:pPr>
          </w:p>
        </w:tc>
      </w:tr>
    </w:tbl>
    <w:p w:rsidR="006137E8" w:rsidRDefault="00270E3F">
      <w:pPr>
        <w:spacing w:line="276" w:lineRule="auto"/>
        <w:rPr>
          <w:b/>
          <w:sz w:val="24"/>
          <w:szCs w:val="24"/>
        </w:rPr>
      </w:pPr>
      <w:r>
        <w:rPr>
          <w:rFonts w:hint="eastAsia"/>
          <w:b/>
          <w:sz w:val="24"/>
          <w:szCs w:val="24"/>
        </w:rPr>
        <w:t>注：</w:t>
      </w:r>
      <w:r>
        <w:rPr>
          <w:rFonts w:hint="eastAsia"/>
          <w:b/>
          <w:sz w:val="24"/>
          <w:szCs w:val="24"/>
        </w:rPr>
        <w:t xml:space="preserve"> </w:t>
      </w:r>
      <w:r>
        <w:rPr>
          <w:rFonts w:hint="eastAsia"/>
          <w:b/>
          <w:szCs w:val="21"/>
        </w:rPr>
        <w:t>1</w:t>
      </w:r>
      <w:r>
        <w:rPr>
          <w:rFonts w:hint="eastAsia"/>
          <w:b/>
          <w:szCs w:val="21"/>
        </w:rPr>
        <w:t>、打分采用百分制；</w:t>
      </w:r>
    </w:p>
    <w:p w:rsidR="006137E8" w:rsidRDefault="00270E3F">
      <w:pPr>
        <w:spacing w:line="276" w:lineRule="auto"/>
        <w:ind w:firstLineChars="294" w:firstLine="620"/>
        <w:rPr>
          <w:b/>
          <w:szCs w:val="21"/>
        </w:rPr>
      </w:pPr>
      <w:r>
        <w:rPr>
          <w:rFonts w:hint="eastAsia"/>
          <w:b/>
          <w:szCs w:val="21"/>
        </w:rPr>
        <w:t>2</w:t>
      </w:r>
      <w:r>
        <w:rPr>
          <w:rFonts w:hint="eastAsia"/>
          <w:b/>
          <w:szCs w:val="21"/>
        </w:rPr>
        <w:t>、每组专家成员打分的平均分为该项目的最终得分。</w:t>
      </w:r>
    </w:p>
    <w:sectPr w:rsidR="006137E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3F" w:rsidRDefault="00270E3F" w:rsidP="005E28DF">
      <w:r>
        <w:separator/>
      </w:r>
    </w:p>
  </w:endnote>
  <w:endnote w:type="continuationSeparator" w:id="0">
    <w:p w:rsidR="00270E3F" w:rsidRDefault="00270E3F" w:rsidP="005E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3F" w:rsidRDefault="00270E3F" w:rsidP="005E28DF">
      <w:r>
        <w:separator/>
      </w:r>
    </w:p>
  </w:footnote>
  <w:footnote w:type="continuationSeparator" w:id="0">
    <w:p w:rsidR="00270E3F" w:rsidRDefault="00270E3F" w:rsidP="005E2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75B"/>
    <w:multiLevelType w:val="multilevel"/>
    <w:tmpl w:val="03A6375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EC2271"/>
    <w:multiLevelType w:val="multilevel"/>
    <w:tmpl w:val="07EC22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B557B"/>
    <w:multiLevelType w:val="multilevel"/>
    <w:tmpl w:val="1FCB557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C6755D"/>
    <w:multiLevelType w:val="multilevel"/>
    <w:tmpl w:val="20C6755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95197C"/>
    <w:multiLevelType w:val="multilevel"/>
    <w:tmpl w:val="5F9519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E1"/>
    <w:rsid w:val="DAD79592"/>
    <w:rsid w:val="00013717"/>
    <w:rsid w:val="0001679B"/>
    <w:rsid w:val="00066AB6"/>
    <w:rsid w:val="000B5822"/>
    <w:rsid w:val="000C257C"/>
    <w:rsid w:val="000C25FA"/>
    <w:rsid w:val="000D04A6"/>
    <w:rsid w:val="00102BB5"/>
    <w:rsid w:val="00162A30"/>
    <w:rsid w:val="001A54E7"/>
    <w:rsid w:val="001F30C2"/>
    <w:rsid w:val="00205713"/>
    <w:rsid w:val="002648F2"/>
    <w:rsid w:val="00266732"/>
    <w:rsid w:val="00270E3F"/>
    <w:rsid w:val="00461E95"/>
    <w:rsid w:val="00470A26"/>
    <w:rsid w:val="0050546F"/>
    <w:rsid w:val="00517EE7"/>
    <w:rsid w:val="0053762F"/>
    <w:rsid w:val="005E28DF"/>
    <w:rsid w:val="005E42F6"/>
    <w:rsid w:val="006137E8"/>
    <w:rsid w:val="00741C25"/>
    <w:rsid w:val="00755C21"/>
    <w:rsid w:val="007778AC"/>
    <w:rsid w:val="007A583B"/>
    <w:rsid w:val="007E3751"/>
    <w:rsid w:val="007F1398"/>
    <w:rsid w:val="008152FC"/>
    <w:rsid w:val="0082156B"/>
    <w:rsid w:val="0084579C"/>
    <w:rsid w:val="00960629"/>
    <w:rsid w:val="00A63D96"/>
    <w:rsid w:val="00A66527"/>
    <w:rsid w:val="00A668E1"/>
    <w:rsid w:val="00AB0013"/>
    <w:rsid w:val="00AB53C1"/>
    <w:rsid w:val="00AF3808"/>
    <w:rsid w:val="00AF55F0"/>
    <w:rsid w:val="00B01274"/>
    <w:rsid w:val="00B6734C"/>
    <w:rsid w:val="00B80256"/>
    <w:rsid w:val="00BB2276"/>
    <w:rsid w:val="00BD0091"/>
    <w:rsid w:val="00BD20B6"/>
    <w:rsid w:val="00C540B0"/>
    <w:rsid w:val="00C70ADC"/>
    <w:rsid w:val="00C933F6"/>
    <w:rsid w:val="00CB3052"/>
    <w:rsid w:val="00CC7D63"/>
    <w:rsid w:val="00CD3CDE"/>
    <w:rsid w:val="00D824D7"/>
    <w:rsid w:val="00E33CDD"/>
    <w:rsid w:val="00F10161"/>
    <w:rsid w:val="00F7040D"/>
    <w:rsid w:val="6C9B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微软中国</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cp:revision>
  <dcterms:created xsi:type="dcterms:W3CDTF">2019-05-16T08:17:00Z</dcterms:created>
  <dcterms:modified xsi:type="dcterms:W3CDTF">2019-05-16T08:17:00Z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2052-1.0.0.1304</vt:lpwstr>
  </property>
</Properties>
</file>