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AE" w:rsidRDefault="00D836A3">
      <w:pPr>
        <w:rPr>
          <w:rFonts w:eastAsia="黑体"/>
          <w:sz w:val="32"/>
          <w:szCs w:val="32"/>
        </w:rPr>
      </w:pPr>
      <w:r>
        <w:rPr>
          <w:rFonts w:eastAsia="黑体"/>
          <w:sz w:val="32"/>
          <w:szCs w:val="32"/>
        </w:rPr>
        <w:t>附件</w:t>
      </w:r>
      <w:r w:rsidR="00060CB0">
        <w:rPr>
          <w:rFonts w:eastAsia="黑体" w:hint="eastAsia"/>
          <w:sz w:val="32"/>
          <w:szCs w:val="32"/>
        </w:rPr>
        <w:t>5</w:t>
      </w:r>
    </w:p>
    <w:p w:rsidR="00CB2BAE" w:rsidRDefault="00CB2BAE">
      <w:pPr>
        <w:rPr>
          <w:rFonts w:eastAsia="黑体"/>
          <w:sz w:val="32"/>
          <w:szCs w:val="32"/>
        </w:rPr>
      </w:pPr>
    </w:p>
    <w:p w:rsidR="00CB2BAE" w:rsidRDefault="008E4011">
      <w:pPr>
        <w:spacing w:line="560" w:lineRule="exact"/>
        <w:jc w:val="center"/>
        <w:rPr>
          <w:rFonts w:eastAsia="方正小标宋简体"/>
          <w:sz w:val="44"/>
          <w:szCs w:val="44"/>
        </w:rPr>
      </w:pPr>
      <w:r w:rsidRPr="008E4011">
        <w:rPr>
          <w:rFonts w:eastAsia="方正小标宋简体" w:hint="eastAsia"/>
          <w:sz w:val="44"/>
          <w:szCs w:val="44"/>
        </w:rPr>
        <w:t>2018</w:t>
      </w:r>
      <w:r w:rsidRPr="008E4011">
        <w:rPr>
          <w:rFonts w:eastAsia="方正小标宋简体" w:hint="eastAsia"/>
          <w:sz w:val="44"/>
          <w:szCs w:val="44"/>
        </w:rPr>
        <w:t>年天津市生态环境治理科技重大专项项目拟立项清单</w:t>
      </w:r>
    </w:p>
    <w:p w:rsidR="00CB2BAE" w:rsidRDefault="00CB2BAE">
      <w:pPr>
        <w:spacing w:line="560" w:lineRule="exact"/>
        <w:rPr>
          <w:rFonts w:eastAsia="方正小标宋简体"/>
          <w:sz w:val="44"/>
          <w:szCs w:val="4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
        <w:gridCol w:w="2945"/>
        <w:gridCol w:w="2826"/>
        <w:gridCol w:w="1799"/>
        <w:gridCol w:w="979"/>
        <w:gridCol w:w="1205"/>
      </w:tblGrid>
      <w:tr w:rsidR="00CB2BAE">
        <w:trPr>
          <w:cantSplit/>
          <w:trHeight w:val="555"/>
          <w:tblHeader/>
          <w:jc w:val="center"/>
        </w:trPr>
        <w:tc>
          <w:tcPr>
            <w:tcW w:w="592" w:type="dxa"/>
            <w:vAlign w:val="center"/>
          </w:tcPr>
          <w:p w:rsidR="00CB2BAE" w:rsidRDefault="00D836A3" w:rsidP="004B4A72">
            <w:pPr>
              <w:snapToGrid w:val="0"/>
              <w:jc w:val="center"/>
              <w:rPr>
                <w:rFonts w:eastAsia="黑体"/>
                <w:bCs/>
                <w:sz w:val="24"/>
              </w:rPr>
            </w:pPr>
            <w:r>
              <w:rPr>
                <w:rFonts w:eastAsia="黑体"/>
                <w:bCs/>
                <w:sz w:val="24"/>
              </w:rPr>
              <w:t>序号</w:t>
            </w:r>
          </w:p>
        </w:tc>
        <w:tc>
          <w:tcPr>
            <w:tcW w:w="2945" w:type="dxa"/>
            <w:vAlign w:val="center"/>
          </w:tcPr>
          <w:p w:rsidR="00CB2BAE" w:rsidRDefault="00D836A3">
            <w:pPr>
              <w:snapToGrid w:val="0"/>
              <w:jc w:val="center"/>
              <w:rPr>
                <w:rFonts w:eastAsia="黑体"/>
                <w:bCs/>
                <w:sz w:val="24"/>
              </w:rPr>
            </w:pPr>
            <w:r>
              <w:rPr>
                <w:rFonts w:eastAsia="黑体"/>
                <w:bCs/>
                <w:sz w:val="24"/>
              </w:rPr>
              <w:t>项目名称</w:t>
            </w:r>
          </w:p>
        </w:tc>
        <w:tc>
          <w:tcPr>
            <w:tcW w:w="2826" w:type="dxa"/>
            <w:vAlign w:val="center"/>
          </w:tcPr>
          <w:p w:rsidR="00CB2BAE" w:rsidRDefault="00D836A3">
            <w:pPr>
              <w:snapToGrid w:val="0"/>
              <w:jc w:val="center"/>
              <w:rPr>
                <w:rFonts w:eastAsia="黑体"/>
                <w:bCs/>
                <w:sz w:val="24"/>
              </w:rPr>
            </w:pPr>
            <w:r>
              <w:rPr>
                <w:rFonts w:eastAsia="黑体"/>
                <w:bCs/>
                <w:sz w:val="24"/>
              </w:rPr>
              <w:t>承担单位</w:t>
            </w:r>
          </w:p>
        </w:tc>
        <w:tc>
          <w:tcPr>
            <w:tcW w:w="1799" w:type="dxa"/>
            <w:vAlign w:val="center"/>
          </w:tcPr>
          <w:p w:rsidR="00CB2BAE" w:rsidRDefault="00EB7C31" w:rsidP="00EB7C31">
            <w:pPr>
              <w:snapToGrid w:val="0"/>
              <w:jc w:val="center"/>
              <w:rPr>
                <w:rFonts w:eastAsia="黑体"/>
                <w:bCs/>
                <w:sz w:val="24"/>
              </w:rPr>
            </w:pPr>
            <w:r w:rsidRPr="00EB7C31">
              <w:rPr>
                <w:rFonts w:eastAsia="黑体" w:hint="eastAsia"/>
                <w:bCs/>
                <w:sz w:val="24"/>
              </w:rPr>
              <w:t>组织单位</w:t>
            </w:r>
          </w:p>
        </w:tc>
        <w:tc>
          <w:tcPr>
            <w:tcW w:w="979" w:type="dxa"/>
            <w:vAlign w:val="center"/>
          </w:tcPr>
          <w:p w:rsidR="00CB2BAE" w:rsidRDefault="00D836A3" w:rsidP="004B4A72">
            <w:pPr>
              <w:snapToGrid w:val="0"/>
              <w:jc w:val="center"/>
              <w:rPr>
                <w:rFonts w:eastAsia="黑体"/>
                <w:bCs/>
                <w:sz w:val="24"/>
              </w:rPr>
            </w:pPr>
            <w:r>
              <w:rPr>
                <w:rFonts w:eastAsia="黑体"/>
                <w:bCs/>
                <w:sz w:val="24"/>
              </w:rPr>
              <w:t>项</w:t>
            </w:r>
            <w:r>
              <w:rPr>
                <w:rFonts w:eastAsia="黑体"/>
                <w:bCs/>
                <w:sz w:val="24"/>
              </w:rPr>
              <w:t xml:space="preserve">  </w:t>
            </w:r>
            <w:r>
              <w:rPr>
                <w:rFonts w:eastAsia="黑体"/>
                <w:bCs/>
                <w:sz w:val="24"/>
              </w:rPr>
              <w:t>目</w:t>
            </w:r>
          </w:p>
          <w:p w:rsidR="00CB2BAE" w:rsidRDefault="00D836A3" w:rsidP="004B4A72">
            <w:pPr>
              <w:snapToGrid w:val="0"/>
              <w:jc w:val="center"/>
              <w:rPr>
                <w:rFonts w:eastAsia="黑体"/>
                <w:bCs/>
                <w:sz w:val="24"/>
              </w:rPr>
            </w:pPr>
            <w:r>
              <w:rPr>
                <w:rFonts w:eastAsia="黑体"/>
                <w:bCs/>
                <w:sz w:val="24"/>
              </w:rPr>
              <w:t>负责人</w:t>
            </w:r>
          </w:p>
        </w:tc>
        <w:tc>
          <w:tcPr>
            <w:tcW w:w="1205" w:type="dxa"/>
            <w:vAlign w:val="center"/>
          </w:tcPr>
          <w:p w:rsidR="00CB2BAE" w:rsidRDefault="00D836A3" w:rsidP="004B4A72">
            <w:pPr>
              <w:snapToGrid w:val="0"/>
              <w:jc w:val="center"/>
              <w:rPr>
                <w:rFonts w:eastAsia="黑体"/>
                <w:bCs/>
                <w:sz w:val="24"/>
              </w:rPr>
            </w:pPr>
            <w:r>
              <w:rPr>
                <w:rFonts w:eastAsia="黑体"/>
                <w:bCs/>
                <w:sz w:val="24"/>
              </w:rPr>
              <w:t>市财政</w:t>
            </w:r>
          </w:p>
          <w:p w:rsidR="00CB2BAE" w:rsidRDefault="00D836A3" w:rsidP="004B4A72">
            <w:pPr>
              <w:snapToGrid w:val="0"/>
              <w:jc w:val="center"/>
              <w:rPr>
                <w:rFonts w:eastAsia="黑体"/>
                <w:bCs/>
                <w:sz w:val="24"/>
              </w:rPr>
            </w:pPr>
            <w:r>
              <w:rPr>
                <w:rFonts w:eastAsia="黑体"/>
                <w:bCs/>
                <w:sz w:val="24"/>
              </w:rPr>
              <w:t>支持额度</w:t>
            </w:r>
          </w:p>
          <w:p w:rsidR="00CB2BAE" w:rsidRDefault="00D836A3" w:rsidP="004B4A72">
            <w:pPr>
              <w:snapToGrid w:val="0"/>
              <w:jc w:val="center"/>
              <w:rPr>
                <w:rFonts w:eastAsia="黑体"/>
                <w:bCs/>
                <w:sz w:val="24"/>
              </w:rPr>
            </w:pPr>
            <w:r>
              <w:rPr>
                <w:rFonts w:eastAsia="黑体"/>
                <w:bCs/>
                <w:sz w:val="24"/>
              </w:rPr>
              <w:t>（万元）</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1</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海上平台生活污水快速处理技术的开发与应用</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中海油天津化工研究设计院有限公司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中海油天津化工研究设计院有限公司</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谢陈鑫</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200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2</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满足移动源</w:t>
            </w:r>
            <w:proofErr w:type="gramStart"/>
            <w:r w:rsidRPr="009B0671">
              <w:rPr>
                <w:rFonts w:eastAsia="仿宋_GB2312"/>
                <w:color w:val="000000"/>
                <w:szCs w:val="21"/>
              </w:rPr>
              <w:t>柴油车国</w:t>
            </w:r>
            <w:proofErr w:type="gramEnd"/>
            <w:r w:rsidRPr="009B0671">
              <w:rPr>
                <w:rFonts w:eastAsia="仿宋_GB2312"/>
                <w:color w:val="000000"/>
                <w:szCs w:val="21"/>
              </w:rPr>
              <w:t>VI</w:t>
            </w:r>
            <w:r w:rsidRPr="009B0671">
              <w:rPr>
                <w:rFonts w:eastAsia="仿宋_GB2312"/>
                <w:color w:val="000000"/>
                <w:szCs w:val="21"/>
              </w:rPr>
              <w:t>标准排放后处理装置研发与应用</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中国汽车技术研究中心有限公司</w:t>
            </w:r>
          </w:p>
          <w:p w:rsidR="009B0671" w:rsidRPr="009B0671" w:rsidRDefault="009B0671" w:rsidP="009B0671">
            <w:pPr>
              <w:rPr>
                <w:rFonts w:eastAsia="仿宋_GB2312"/>
                <w:color w:val="000000"/>
                <w:szCs w:val="21"/>
              </w:rPr>
            </w:pPr>
            <w:r w:rsidRPr="009B0671">
              <w:rPr>
                <w:rFonts w:eastAsia="仿宋_GB2312"/>
                <w:color w:val="000000"/>
                <w:szCs w:val="21"/>
              </w:rPr>
              <w:t>天津大学</w:t>
            </w:r>
          </w:p>
          <w:p w:rsidR="009B0671" w:rsidRPr="009B0671" w:rsidRDefault="009B0671" w:rsidP="009B0671">
            <w:pPr>
              <w:rPr>
                <w:rFonts w:eastAsia="仿宋_GB2312"/>
                <w:color w:val="000000"/>
                <w:szCs w:val="21"/>
              </w:rPr>
            </w:pPr>
            <w:r w:rsidRPr="009B0671">
              <w:rPr>
                <w:rFonts w:eastAsia="仿宋_GB2312"/>
                <w:color w:val="000000"/>
                <w:szCs w:val="21"/>
              </w:rPr>
              <w:t>南开大学</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中国汽车技术研究中心有限公司</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李振国</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100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3</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钢铁烧结烟气超低排放处理中的余热利用研究与工程示范</w:t>
            </w:r>
          </w:p>
        </w:tc>
        <w:tc>
          <w:tcPr>
            <w:tcW w:w="2826" w:type="dxa"/>
            <w:vAlign w:val="center"/>
          </w:tcPr>
          <w:p w:rsidR="009B0671" w:rsidRPr="009B0671" w:rsidRDefault="009B0671" w:rsidP="009B0671">
            <w:pPr>
              <w:rPr>
                <w:rFonts w:eastAsia="仿宋_GB2312"/>
                <w:color w:val="000000"/>
                <w:szCs w:val="21"/>
              </w:rPr>
            </w:pPr>
            <w:proofErr w:type="gramStart"/>
            <w:r w:rsidRPr="009B0671">
              <w:rPr>
                <w:rFonts w:eastAsia="仿宋_GB2312"/>
                <w:color w:val="000000"/>
                <w:szCs w:val="21"/>
              </w:rPr>
              <w:t>天津滨环化学工程</w:t>
            </w:r>
            <w:proofErr w:type="gramEnd"/>
            <w:r w:rsidRPr="009B0671">
              <w:rPr>
                <w:rFonts w:eastAsia="仿宋_GB2312"/>
                <w:color w:val="000000"/>
                <w:szCs w:val="21"/>
              </w:rPr>
              <w:t>技术研究院有限公司</w:t>
            </w:r>
          </w:p>
          <w:p w:rsidR="009B0671" w:rsidRPr="009B0671" w:rsidRDefault="009B0671" w:rsidP="009B0671">
            <w:pPr>
              <w:rPr>
                <w:rFonts w:eastAsia="仿宋_GB2312"/>
                <w:color w:val="000000"/>
                <w:szCs w:val="21"/>
              </w:rPr>
            </w:pPr>
            <w:r w:rsidRPr="009B0671">
              <w:rPr>
                <w:rFonts w:eastAsia="仿宋_GB2312"/>
                <w:color w:val="000000"/>
                <w:szCs w:val="21"/>
              </w:rPr>
              <w:t>南开大学</w:t>
            </w:r>
          </w:p>
          <w:p w:rsidR="009B0671" w:rsidRPr="009B0671" w:rsidRDefault="009B0671" w:rsidP="009B0671">
            <w:pPr>
              <w:rPr>
                <w:rFonts w:eastAsia="仿宋_GB2312"/>
                <w:color w:val="000000"/>
                <w:szCs w:val="21"/>
              </w:rPr>
            </w:pPr>
            <w:r w:rsidRPr="009B0671">
              <w:rPr>
                <w:rFonts w:eastAsia="仿宋_GB2312"/>
                <w:color w:val="000000"/>
                <w:szCs w:val="21"/>
              </w:rPr>
              <w:t>天津大学</w:t>
            </w:r>
          </w:p>
          <w:p w:rsidR="009B0671" w:rsidRPr="009B0671" w:rsidRDefault="009B0671" w:rsidP="009B0671">
            <w:pPr>
              <w:rPr>
                <w:rFonts w:eastAsia="仿宋_GB2312"/>
                <w:color w:val="000000"/>
                <w:szCs w:val="21"/>
              </w:rPr>
            </w:pPr>
            <w:r w:rsidRPr="009B0671">
              <w:rPr>
                <w:rFonts w:eastAsia="仿宋_GB2312"/>
                <w:color w:val="000000"/>
                <w:szCs w:val="21"/>
              </w:rPr>
              <w:t>秦皇岛卓创环保科技开发有限公司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天津市津南区科学技术委员会</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罗</w:t>
            </w:r>
            <w:proofErr w:type="gramStart"/>
            <w:r w:rsidRPr="009B0671">
              <w:rPr>
                <w:rFonts w:eastAsia="仿宋_GB2312"/>
                <w:color w:val="000000"/>
                <w:szCs w:val="21"/>
              </w:rPr>
              <w:t>坚</w:t>
            </w:r>
            <w:proofErr w:type="gramEnd"/>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100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4</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基于热解炭化工艺的农林固体废弃物资源化利用技术开发与应用</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天津壹新环保工程有限公司</w:t>
            </w:r>
          </w:p>
          <w:p w:rsidR="009B0671" w:rsidRPr="009B0671" w:rsidRDefault="009B0671" w:rsidP="009B0671">
            <w:pPr>
              <w:rPr>
                <w:rFonts w:eastAsia="仿宋_GB2312"/>
                <w:color w:val="000000"/>
                <w:szCs w:val="21"/>
              </w:rPr>
            </w:pPr>
            <w:r w:rsidRPr="009B0671">
              <w:rPr>
                <w:rFonts w:eastAsia="仿宋_GB2312"/>
                <w:color w:val="000000"/>
                <w:szCs w:val="21"/>
              </w:rPr>
              <w:t>天津理工大学</w:t>
            </w:r>
          </w:p>
          <w:p w:rsidR="009B0671" w:rsidRPr="009B0671" w:rsidRDefault="009B0671" w:rsidP="009B0671">
            <w:pPr>
              <w:rPr>
                <w:rFonts w:eastAsia="仿宋_GB2312"/>
                <w:color w:val="000000"/>
                <w:szCs w:val="21"/>
              </w:rPr>
            </w:pPr>
            <w:r w:rsidRPr="009B0671">
              <w:rPr>
                <w:rFonts w:eastAsia="仿宋_GB2312"/>
                <w:color w:val="000000"/>
                <w:szCs w:val="21"/>
              </w:rPr>
              <w:t>英普（北京）环境科技有限公司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天津市北辰区科学技术委员会</w:t>
            </w:r>
          </w:p>
        </w:tc>
        <w:tc>
          <w:tcPr>
            <w:tcW w:w="979" w:type="dxa"/>
            <w:vAlign w:val="center"/>
          </w:tcPr>
          <w:p w:rsidR="009B0671" w:rsidRPr="009B0671" w:rsidRDefault="009B0671" w:rsidP="009B0671">
            <w:pPr>
              <w:jc w:val="center"/>
              <w:rPr>
                <w:rFonts w:eastAsia="仿宋_GB2312"/>
                <w:color w:val="000000"/>
                <w:szCs w:val="21"/>
              </w:rPr>
            </w:pPr>
            <w:proofErr w:type="gramStart"/>
            <w:r w:rsidRPr="009B0671">
              <w:rPr>
                <w:rFonts w:eastAsia="仿宋_GB2312"/>
                <w:color w:val="000000"/>
                <w:szCs w:val="21"/>
              </w:rPr>
              <w:t>马竞男</w:t>
            </w:r>
            <w:proofErr w:type="gramEnd"/>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100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5</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化工行业挥发性有机物吸附与催化氧化耦合控制技术与应用</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天津大学环境科学与工程学院</w:t>
            </w:r>
          </w:p>
          <w:p w:rsidR="009B0671" w:rsidRPr="009B0671" w:rsidRDefault="009B0671" w:rsidP="009B0671">
            <w:pPr>
              <w:rPr>
                <w:rFonts w:eastAsia="仿宋_GB2312"/>
                <w:color w:val="000000"/>
                <w:szCs w:val="21"/>
              </w:rPr>
            </w:pPr>
            <w:r w:rsidRPr="009B0671">
              <w:rPr>
                <w:rFonts w:eastAsia="仿宋_GB2312"/>
                <w:color w:val="000000"/>
                <w:szCs w:val="21"/>
              </w:rPr>
              <w:t>南开大学</w:t>
            </w:r>
          </w:p>
          <w:p w:rsidR="009B0671" w:rsidRPr="009B0671" w:rsidRDefault="009B0671" w:rsidP="009B0671">
            <w:pPr>
              <w:rPr>
                <w:rFonts w:eastAsia="仿宋_GB2312"/>
                <w:color w:val="000000"/>
                <w:szCs w:val="21"/>
              </w:rPr>
            </w:pPr>
            <w:proofErr w:type="gramStart"/>
            <w:r w:rsidRPr="009B0671">
              <w:rPr>
                <w:rFonts w:eastAsia="仿宋_GB2312"/>
                <w:color w:val="000000"/>
                <w:szCs w:val="21"/>
              </w:rPr>
              <w:t>渤</w:t>
            </w:r>
            <w:proofErr w:type="gramEnd"/>
            <w:r w:rsidRPr="009B0671">
              <w:rPr>
                <w:rFonts w:eastAsia="仿宋_GB2312"/>
                <w:color w:val="000000"/>
                <w:szCs w:val="21"/>
              </w:rPr>
              <w:t>化永利化工股份有限公司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天津大学</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刘庆岭</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6</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新型</w:t>
            </w:r>
            <w:r w:rsidRPr="009B0671">
              <w:rPr>
                <w:rFonts w:eastAsia="仿宋_GB2312"/>
                <w:color w:val="000000"/>
                <w:szCs w:val="21"/>
              </w:rPr>
              <w:t>SNCR/SCR</w:t>
            </w:r>
            <w:r w:rsidRPr="009B0671">
              <w:rPr>
                <w:rFonts w:eastAsia="仿宋_GB2312"/>
                <w:color w:val="000000"/>
                <w:szCs w:val="21"/>
              </w:rPr>
              <w:t>优化实现工业锅炉</w:t>
            </w:r>
            <w:proofErr w:type="spellStart"/>
            <w:r w:rsidRPr="009B0671">
              <w:rPr>
                <w:rFonts w:eastAsia="仿宋_GB2312"/>
                <w:color w:val="000000"/>
                <w:szCs w:val="21"/>
              </w:rPr>
              <w:t>NOx</w:t>
            </w:r>
            <w:proofErr w:type="spellEnd"/>
            <w:r w:rsidRPr="009B0671">
              <w:rPr>
                <w:rFonts w:eastAsia="仿宋_GB2312"/>
                <w:color w:val="000000"/>
                <w:szCs w:val="21"/>
              </w:rPr>
              <w:t>超低排放技术</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河北工业大学能源与环境工程学院</w:t>
            </w:r>
          </w:p>
          <w:p w:rsidR="009B0671" w:rsidRPr="009B0671" w:rsidRDefault="009B0671" w:rsidP="009B0671">
            <w:pPr>
              <w:rPr>
                <w:rFonts w:eastAsia="仿宋_GB2312"/>
                <w:color w:val="000000"/>
                <w:szCs w:val="21"/>
              </w:rPr>
            </w:pPr>
            <w:r w:rsidRPr="009B0671">
              <w:rPr>
                <w:rFonts w:eastAsia="仿宋_GB2312"/>
                <w:color w:val="000000"/>
                <w:szCs w:val="21"/>
              </w:rPr>
              <w:t>天津浩创节能环保设备有限公司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河北工业大学</w:t>
            </w:r>
          </w:p>
        </w:tc>
        <w:tc>
          <w:tcPr>
            <w:tcW w:w="979" w:type="dxa"/>
            <w:vAlign w:val="center"/>
          </w:tcPr>
          <w:p w:rsidR="009B0671" w:rsidRPr="009B0671" w:rsidRDefault="009B0671" w:rsidP="009B0671">
            <w:pPr>
              <w:jc w:val="center"/>
              <w:rPr>
                <w:rFonts w:eastAsia="仿宋_GB2312"/>
                <w:color w:val="000000"/>
                <w:szCs w:val="21"/>
              </w:rPr>
            </w:pPr>
            <w:proofErr w:type="gramStart"/>
            <w:r w:rsidRPr="009B0671">
              <w:rPr>
                <w:rFonts w:eastAsia="仿宋_GB2312"/>
                <w:color w:val="000000"/>
                <w:szCs w:val="21"/>
              </w:rPr>
              <w:t>王夫美</w:t>
            </w:r>
            <w:proofErr w:type="gramEnd"/>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7</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天津市大气复合污染精准解析及防治方案研究</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南开大学环境科学与工程学院</w:t>
            </w:r>
          </w:p>
          <w:p w:rsidR="009B0671" w:rsidRPr="009B0671" w:rsidRDefault="009B0671" w:rsidP="009B0671">
            <w:pPr>
              <w:rPr>
                <w:rFonts w:eastAsia="仿宋_GB2312"/>
                <w:color w:val="000000"/>
                <w:szCs w:val="21"/>
              </w:rPr>
            </w:pPr>
            <w:r w:rsidRPr="009B0671">
              <w:rPr>
                <w:rFonts w:eastAsia="仿宋_GB2312"/>
                <w:color w:val="000000"/>
                <w:szCs w:val="21"/>
              </w:rPr>
              <w:t>天津市生态环境监测中心</w:t>
            </w:r>
          </w:p>
          <w:p w:rsidR="009B0671" w:rsidRPr="009B0671" w:rsidRDefault="009B0671" w:rsidP="009B0671">
            <w:pPr>
              <w:rPr>
                <w:rFonts w:eastAsia="仿宋_GB2312"/>
                <w:color w:val="000000"/>
                <w:szCs w:val="21"/>
              </w:rPr>
            </w:pPr>
            <w:r w:rsidRPr="009B0671">
              <w:rPr>
                <w:rFonts w:eastAsia="仿宋_GB2312"/>
                <w:color w:val="000000"/>
                <w:szCs w:val="21"/>
              </w:rPr>
              <w:t>天津市气象科学研究所</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吴建会</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8</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新型生物脱硫脱氮制备清洁船舶燃料油技术的研发与应用</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南开大学泰达生物技术研究院</w:t>
            </w:r>
          </w:p>
          <w:p w:rsidR="009B0671" w:rsidRPr="009B0671" w:rsidRDefault="009B0671" w:rsidP="009B0671">
            <w:pPr>
              <w:rPr>
                <w:rFonts w:eastAsia="仿宋_GB2312"/>
                <w:color w:val="000000"/>
                <w:szCs w:val="21"/>
              </w:rPr>
            </w:pPr>
            <w:r w:rsidRPr="009B0671">
              <w:rPr>
                <w:rFonts w:eastAsia="仿宋_GB2312"/>
                <w:color w:val="000000"/>
                <w:szCs w:val="21"/>
              </w:rPr>
              <w:t>天津微锐生物科技有限公司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王威</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9</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基于膜电容去离子的工业含盐废水</w:t>
            </w:r>
            <w:r w:rsidR="007D3BF3">
              <w:rPr>
                <w:rFonts w:eastAsia="仿宋_GB2312" w:hint="eastAsia"/>
                <w:color w:val="000000"/>
                <w:szCs w:val="21"/>
              </w:rPr>
              <w:t>（</w:t>
            </w:r>
            <w:r w:rsidRPr="009B0671">
              <w:rPr>
                <w:rFonts w:eastAsia="仿宋_GB2312"/>
                <w:color w:val="000000"/>
                <w:szCs w:val="21"/>
              </w:rPr>
              <w:t>近</w:t>
            </w:r>
            <w:r w:rsidR="007D3BF3">
              <w:rPr>
                <w:rFonts w:eastAsia="仿宋_GB2312" w:hint="eastAsia"/>
                <w:color w:val="000000"/>
                <w:szCs w:val="21"/>
              </w:rPr>
              <w:t>）</w:t>
            </w:r>
            <w:bookmarkStart w:id="0" w:name="_GoBack"/>
            <w:bookmarkEnd w:id="0"/>
            <w:r w:rsidRPr="009B0671">
              <w:rPr>
                <w:rFonts w:eastAsia="仿宋_GB2312"/>
                <w:color w:val="000000"/>
                <w:szCs w:val="21"/>
              </w:rPr>
              <w:t>零排放新技术</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南开大学环境科学与工程学院</w:t>
            </w:r>
          </w:p>
          <w:p w:rsidR="009B0671" w:rsidRPr="009B0671" w:rsidRDefault="009B0671" w:rsidP="009B0671">
            <w:pPr>
              <w:rPr>
                <w:rFonts w:eastAsia="仿宋_GB2312"/>
                <w:color w:val="000000"/>
                <w:szCs w:val="21"/>
              </w:rPr>
            </w:pPr>
            <w:r w:rsidRPr="009B0671">
              <w:rPr>
                <w:rFonts w:eastAsia="仿宋_GB2312"/>
                <w:color w:val="000000"/>
                <w:szCs w:val="21"/>
              </w:rPr>
              <w:t>天津恒瑞捷科技发展有限公司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李铁龙</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lastRenderedPageBreak/>
              <w:t>10</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基于可持续消除水体黑臭的技术集成体系与示范研究</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天津大学化工学院</w:t>
            </w:r>
          </w:p>
          <w:p w:rsidR="009B0671" w:rsidRPr="009B0671" w:rsidRDefault="009B0671" w:rsidP="009B0671">
            <w:pPr>
              <w:rPr>
                <w:rFonts w:eastAsia="仿宋_GB2312"/>
                <w:color w:val="000000"/>
                <w:szCs w:val="21"/>
              </w:rPr>
            </w:pPr>
            <w:r w:rsidRPr="009B0671">
              <w:rPr>
                <w:rFonts w:eastAsia="仿宋_GB2312"/>
                <w:color w:val="000000"/>
                <w:szCs w:val="21"/>
              </w:rPr>
              <w:t>天津海之</w:t>
            </w:r>
            <w:proofErr w:type="gramStart"/>
            <w:r w:rsidRPr="009B0671">
              <w:rPr>
                <w:rFonts w:eastAsia="仿宋_GB2312"/>
                <w:color w:val="000000"/>
                <w:szCs w:val="21"/>
              </w:rPr>
              <w:t>凰</w:t>
            </w:r>
            <w:proofErr w:type="gramEnd"/>
            <w:r w:rsidRPr="009B0671">
              <w:rPr>
                <w:rFonts w:eastAsia="仿宋_GB2312"/>
                <w:color w:val="000000"/>
                <w:szCs w:val="21"/>
              </w:rPr>
              <w:t>科技有限公司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天津大学</w:t>
            </w:r>
          </w:p>
        </w:tc>
        <w:tc>
          <w:tcPr>
            <w:tcW w:w="979" w:type="dxa"/>
            <w:vAlign w:val="center"/>
          </w:tcPr>
          <w:p w:rsidR="009B0671" w:rsidRPr="009B0671" w:rsidRDefault="009B0671" w:rsidP="009B0671">
            <w:pPr>
              <w:jc w:val="center"/>
              <w:rPr>
                <w:rFonts w:eastAsia="仿宋_GB2312"/>
                <w:color w:val="000000"/>
                <w:szCs w:val="21"/>
              </w:rPr>
            </w:pPr>
            <w:proofErr w:type="gramStart"/>
            <w:r w:rsidRPr="009B0671">
              <w:rPr>
                <w:rFonts w:eastAsia="仿宋_GB2312"/>
                <w:color w:val="000000"/>
                <w:szCs w:val="21"/>
              </w:rPr>
              <w:t>田忠艳</w:t>
            </w:r>
            <w:proofErr w:type="gramEnd"/>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11</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化工行业有机污染场地高级氧化修复技术研发与示范</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南开大学环境科学与工程学院</w:t>
            </w:r>
          </w:p>
          <w:p w:rsidR="009B0671" w:rsidRPr="009B0671" w:rsidRDefault="009B0671" w:rsidP="009B0671">
            <w:pPr>
              <w:rPr>
                <w:rFonts w:eastAsia="仿宋_GB2312"/>
                <w:color w:val="000000"/>
                <w:szCs w:val="21"/>
              </w:rPr>
            </w:pPr>
            <w:r w:rsidRPr="009B0671">
              <w:rPr>
                <w:rFonts w:eastAsia="仿宋_GB2312"/>
                <w:color w:val="000000"/>
                <w:szCs w:val="21"/>
              </w:rPr>
              <w:t>天津环科立嘉环境修复科技有限公司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孙红文</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12</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多源垃圾清洁高效能源化</w:t>
            </w:r>
            <w:r w:rsidRPr="009B0671">
              <w:rPr>
                <w:rFonts w:eastAsia="仿宋_GB2312"/>
                <w:color w:val="000000"/>
                <w:szCs w:val="21"/>
              </w:rPr>
              <w:t>-</w:t>
            </w:r>
            <w:r w:rsidRPr="009B0671">
              <w:rPr>
                <w:rFonts w:eastAsia="仿宋_GB2312"/>
                <w:color w:val="000000"/>
                <w:szCs w:val="21"/>
              </w:rPr>
              <w:t>资源化利用技术与管理体系</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天津大学环境科学与工程学院</w:t>
            </w:r>
          </w:p>
          <w:p w:rsidR="009B0671" w:rsidRPr="009B0671" w:rsidRDefault="009B0671" w:rsidP="009B0671">
            <w:pPr>
              <w:rPr>
                <w:rFonts w:eastAsia="仿宋_GB2312"/>
                <w:color w:val="000000"/>
                <w:szCs w:val="21"/>
              </w:rPr>
            </w:pPr>
            <w:r w:rsidRPr="009B0671">
              <w:rPr>
                <w:rFonts w:eastAsia="仿宋_GB2312"/>
                <w:color w:val="000000"/>
                <w:szCs w:val="21"/>
              </w:rPr>
              <w:t>天津城建大学能源与安全工程学院</w:t>
            </w:r>
          </w:p>
          <w:p w:rsidR="009B0671" w:rsidRPr="009B0671" w:rsidRDefault="009B0671" w:rsidP="009B0671">
            <w:pPr>
              <w:rPr>
                <w:rFonts w:eastAsia="仿宋_GB2312"/>
                <w:color w:val="000000"/>
                <w:szCs w:val="21"/>
              </w:rPr>
            </w:pPr>
            <w:r w:rsidRPr="009B0671">
              <w:rPr>
                <w:rFonts w:eastAsia="仿宋_GB2312"/>
                <w:color w:val="000000"/>
                <w:szCs w:val="21"/>
              </w:rPr>
              <w:t>北京化工大学化学工程学院</w:t>
            </w:r>
          </w:p>
          <w:p w:rsidR="009B0671" w:rsidRPr="009B0671" w:rsidRDefault="009B0671" w:rsidP="009B0671">
            <w:pPr>
              <w:rPr>
                <w:rFonts w:eastAsia="仿宋_GB2312"/>
                <w:color w:val="000000"/>
                <w:szCs w:val="21"/>
              </w:rPr>
            </w:pPr>
            <w:r w:rsidRPr="009B0671">
              <w:rPr>
                <w:rFonts w:eastAsia="仿宋_GB2312"/>
                <w:color w:val="000000"/>
                <w:szCs w:val="21"/>
              </w:rPr>
              <w:t>天津滨海环保产业发展有限公司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天津大学</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马文超</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13</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生活垃圾焚烧飞灰电极熔融处理关键技术及应用研究</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天津壹鸣环境科技股份有限公司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天津滨海高新技术产业开发区科技发展局</w:t>
            </w:r>
          </w:p>
        </w:tc>
        <w:tc>
          <w:tcPr>
            <w:tcW w:w="979" w:type="dxa"/>
            <w:vAlign w:val="center"/>
          </w:tcPr>
          <w:p w:rsidR="009B0671" w:rsidRPr="009B0671" w:rsidRDefault="009B0671" w:rsidP="009B0671">
            <w:pPr>
              <w:jc w:val="center"/>
              <w:rPr>
                <w:rFonts w:eastAsia="仿宋_GB2312"/>
                <w:color w:val="000000"/>
                <w:szCs w:val="21"/>
              </w:rPr>
            </w:pPr>
            <w:proofErr w:type="gramStart"/>
            <w:r w:rsidRPr="009B0671">
              <w:rPr>
                <w:rFonts w:eastAsia="仿宋_GB2312"/>
                <w:color w:val="000000"/>
                <w:szCs w:val="21"/>
              </w:rPr>
              <w:t>纪涛</w:t>
            </w:r>
            <w:proofErr w:type="gramEnd"/>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14</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天津市域生态空间格局优化与生态功能提升技术及应用</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南开大学环境科学与工程学院</w:t>
            </w:r>
          </w:p>
          <w:p w:rsidR="009B0671" w:rsidRPr="009B0671" w:rsidRDefault="009B0671" w:rsidP="009B0671">
            <w:pPr>
              <w:rPr>
                <w:rFonts w:eastAsia="仿宋_GB2312"/>
                <w:color w:val="000000"/>
                <w:szCs w:val="21"/>
              </w:rPr>
            </w:pPr>
            <w:r w:rsidRPr="009B0671">
              <w:rPr>
                <w:rFonts w:eastAsia="仿宋_GB2312"/>
                <w:color w:val="000000"/>
                <w:szCs w:val="21"/>
              </w:rPr>
              <w:t>天津市城市规划设计研究院</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w:t>
            </w:r>
          </w:p>
        </w:tc>
        <w:tc>
          <w:tcPr>
            <w:tcW w:w="979" w:type="dxa"/>
            <w:vAlign w:val="center"/>
          </w:tcPr>
          <w:p w:rsidR="009B0671" w:rsidRPr="009B0671" w:rsidRDefault="009B0671" w:rsidP="009B0671">
            <w:pPr>
              <w:jc w:val="center"/>
              <w:rPr>
                <w:rFonts w:eastAsia="仿宋_GB2312"/>
                <w:color w:val="000000"/>
                <w:szCs w:val="21"/>
              </w:rPr>
            </w:pPr>
            <w:proofErr w:type="gramStart"/>
            <w:r w:rsidRPr="009B0671">
              <w:rPr>
                <w:rFonts w:eastAsia="仿宋_GB2312"/>
                <w:color w:val="000000"/>
                <w:szCs w:val="21"/>
              </w:rPr>
              <w:t>李洪远</w:t>
            </w:r>
            <w:proofErr w:type="gramEnd"/>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15</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市政污泥无害化处理与资源化利用技术应用示范</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w:t>
            </w:r>
            <w:proofErr w:type="gramStart"/>
            <w:r w:rsidRPr="009B0671">
              <w:rPr>
                <w:rFonts w:eastAsia="仿宋_GB2312"/>
                <w:color w:val="000000"/>
                <w:szCs w:val="21"/>
              </w:rPr>
              <w:t>瑞德赛恩水业有限公司</w:t>
            </w:r>
            <w:proofErr w:type="gramEnd"/>
          </w:p>
          <w:p w:rsidR="009B0671" w:rsidRPr="009B0671" w:rsidRDefault="009B0671" w:rsidP="009B0671">
            <w:pPr>
              <w:rPr>
                <w:rFonts w:eastAsia="仿宋_GB2312"/>
                <w:color w:val="000000"/>
                <w:szCs w:val="21"/>
              </w:rPr>
            </w:pPr>
            <w:r w:rsidRPr="009B0671">
              <w:rPr>
                <w:rFonts w:eastAsia="仿宋_GB2312"/>
                <w:color w:val="000000"/>
                <w:szCs w:val="21"/>
              </w:rPr>
              <w:t>河北科技大学环境科学与工程学院</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天津市滨海新区科技和工业创新委员会</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张强</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16</w:t>
            </w:r>
          </w:p>
        </w:tc>
        <w:tc>
          <w:tcPr>
            <w:tcW w:w="2945" w:type="dxa"/>
            <w:vAlign w:val="center"/>
          </w:tcPr>
          <w:p w:rsidR="009B0671" w:rsidRPr="009B0671" w:rsidRDefault="009B0671" w:rsidP="009B0671">
            <w:pPr>
              <w:rPr>
                <w:rFonts w:eastAsia="仿宋_GB2312"/>
                <w:color w:val="000000"/>
                <w:szCs w:val="21"/>
              </w:rPr>
            </w:pPr>
            <w:proofErr w:type="gramStart"/>
            <w:r w:rsidRPr="009B0671">
              <w:rPr>
                <w:rFonts w:eastAsia="仿宋_GB2312"/>
                <w:color w:val="000000"/>
                <w:szCs w:val="21"/>
              </w:rPr>
              <w:t>雄安新区</w:t>
            </w:r>
            <w:proofErr w:type="gramEnd"/>
            <w:r w:rsidRPr="009B0671">
              <w:rPr>
                <w:rFonts w:eastAsia="仿宋_GB2312"/>
                <w:color w:val="000000"/>
                <w:szCs w:val="21"/>
              </w:rPr>
              <w:t>白洋淀周边区域</w:t>
            </w:r>
            <w:proofErr w:type="gramStart"/>
            <w:r w:rsidRPr="009B0671">
              <w:rPr>
                <w:rFonts w:eastAsia="仿宋_GB2312"/>
                <w:color w:val="000000"/>
                <w:szCs w:val="21"/>
              </w:rPr>
              <w:t>氮磷全过程控制</w:t>
            </w:r>
            <w:proofErr w:type="gramEnd"/>
            <w:r w:rsidRPr="009B0671">
              <w:rPr>
                <w:rFonts w:eastAsia="仿宋_GB2312"/>
                <w:color w:val="000000"/>
                <w:szCs w:val="21"/>
              </w:rPr>
              <w:t>技术研究与示范</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天津宇海环保科技有限公司</w:t>
            </w:r>
          </w:p>
          <w:p w:rsidR="009B0671" w:rsidRPr="009B0671" w:rsidRDefault="009B0671" w:rsidP="009B0671">
            <w:pPr>
              <w:rPr>
                <w:rFonts w:eastAsia="仿宋_GB2312"/>
                <w:color w:val="000000"/>
                <w:szCs w:val="21"/>
              </w:rPr>
            </w:pPr>
            <w:r w:rsidRPr="009B0671">
              <w:rPr>
                <w:rFonts w:eastAsia="仿宋_GB2312"/>
                <w:color w:val="000000"/>
                <w:szCs w:val="21"/>
              </w:rPr>
              <w:t>南开大学</w:t>
            </w:r>
          </w:p>
          <w:p w:rsidR="009B0671" w:rsidRPr="009B0671" w:rsidRDefault="009B0671" w:rsidP="009B0671">
            <w:pPr>
              <w:rPr>
                <w:rFonts w:eastAsia="仿宋_GB2312"/>
                <w:color w:val="000000"/>
                <w:szCs w:val="21"/>
              </w:rPr>
            </w:pPr>
            <w:r w:rsidRPr="009B0671">
              <w:rPr>
                <w:rFonts w:eastAsia="仿宋_GB2312"/>
                <w:color w:val="000000"/>
                <w:szCs w:val="21"/>
              </w:rPr>
              <w:t>河北绿之</w:t>
            </w:r>
            <w:proofErr w:type="gramStart"/>
            <w:r w:rsidRPr="009B0671">
              <w:rPr>
                <w:rFonts w:eastAsia="仿宋_GB2312"/>
                <w:color w:val="000000"/>
                <w:szCs w:val="21"/>
              </w:rPr>
              <w:t>梦农业</w:t>
            </w:r>
            <w:proofErr w:type="gramEnd"/>
            <w:r w:rsidRPr="009B0671">
              <w:rPr>
                <w:rFonts w:eastAsia="仿宋_GB2312"/>
                <w:color w:val="000000"/>
                <w:szCs w:val="21"/>
              </w:rPr>
              <w:t>开发有限公司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天津市河北区科学技术委员会</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刘玉海</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75</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17</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海洋溢油应急处理的生物技术研发及修复后环境评价</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中国科学院天津工业生物技术研究所</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中国科学院天津工业生物技术研究所</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赵维</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50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18</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天津市水污染物动态排放清单及精准来源解析技术研究</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天津市环境保护科学研究院</w:t>
            </w:r>
          </w:p>
          <w:p w:rsidR="009B0671" w:rsidRPr="009B0671" w:rsidRDefault="009B0671" w:rsidP="009B0671">
            <w:pPr>
              <w:rPr>
                <w:rFonts w:eastAsia="仿宋_GB2312"/>
                <w:color w:val="000000"/>
                <w:szCs w:val="21"/>
              </w:rPr>
            </w:pPr>
            <w:r w:rsidRPr="009B0671">
              <w:rPr>
                <w:rFonts w:eastAsia="仿宋_GB2312"/>
                <w:color w:val="000000"/>
                <w:szCs w:val="21"/>
              </w:rPr>
              <w:t>天津市生态环境监测中心</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天津市环境保护局</w:t>
            </w:r>
          </w:p>
        </w:tc>
        <w:tc>
          <w:tcPr>
            <w:tcW w:w="979" w:type="dxa"/>
            <w:vAlign w:val="center"/>
          </w:tcPr>
          <w:p w:rsidR="009B0671" w:rsidRPr="009B0671" w:rsidRDefault="009B0671" w:rsidP="009B0671">
            <w:pPr>
              <w:jc w:val="center"/>
              <w:rPr>
                <w:rFonts w:eastAsia="仿宋_GB2312"/>
                <w:color w:val="000000"/>
                <w:szCs w:val="21"/>
              </w:rPr>
            </w:pPr>
            <w:proofErr w:type="gramStart"/>
            <w:r w:rsidRPr="009B0671">
              <w:rPr>
                <w:rFonts w:eastAsia="仿宋_GB2312"/>
                <w:color w:val="000000"/>
                <w:szCs w:val="21"/>
              </w:rPr>
              <w:t>周滨</w:t>
            </w:r>
            <w:proofErr w:type="gramEnd"/>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50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19</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海水淡化浓海水膜法</w:t>
            </w:r>
            <w:proofErr w:type="gramStart"/>
            <w:r w:rsidRPr="009B0671">
              <w:rPr>
                <w:rFonts w:eastAsia="仿宋_GB2312"/>
                <w:color w:val="000000"/>
                <w:szCs w:val="21"/>
              </w:rPr>
              <w:t>浓缩与趋零排放</w:t>
            </w:r>
            <w:proofErr w:type="gramEnd"/>
            <w:r w:rsidRPr="009B0671">
              <w:rPr>
                <w:rFonts w:eastAsia="仿宋_GB2312"/>
                <w:color w:val="000000"/>
                <w:szCs w:val="21"/>
              </w:rPr>
              <w:t>关键技术与示范</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南开大学环境科学与工程学院</w:t>
            </w:r>
          </w:p>
          <w:p w:rsidR="009B0671" w:rsidRPr="009B0671" w:rsidRDefault="009B0671" w:rsidP="009B0671">
            <w:pPr>
              <w:rPr>
                <w:rFonts w:eastAsia="仿宋_GB2312"/>
                <w:color w:val="000000"/>
                <w:szCs w:val="21"/>
              </w:rPr>
            </w:pPr>
            <w:r w:rsidRPr="009B0671">
              <w:rPr>
                <w:rFonts w:eastAsia="仿宋_GB2312"/>
                <w:color w:val="000000"/>
                <w:szCs w:val="21"/>
              </w:rPr>
              <w:t>天津中领水系统技术有限公司</w:t>
            </w:r>
          </w:p>
          <w:p w:rsidR="009B0671" w:rsidRPr="009B0671" w:rsidRDefault="009B0671" w:rsidP="009B0671">
            <w:pPr>
              <w:rPr>
                <w:rFonts w:eastAsia="仿宋_GB2312"/>
                <w:color w:val="000000"/>
                <w:szCs w:val="21"/>
              </w:rPr>
            </w:pPr>
            <w:r w:rsidRPr="009B0671">
              <w:rPr>
                <w:rFonts w:eastAsia="仿宋_GB2312"/>
                <w:color w:val="000000"/>
                <w:szCs w:val="21"/>
              </w:rPr>
              <w:t>天津长芦汉沽盐场有限责任公司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南开大学</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卢会霞</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50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20</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印染行业废水资源化利用及互联网在线监测技术研发与示范</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天津工业大学环境与化学工程学院</w:t>
            </w:r>
          </w:p>
          <w:p w:rsidR="009B0671" w:rsidRPr="009B0671" w:rsidRDefault="009B0671" w:rsidP="009B0671">
            <w:pPr>
              <w:rPr>
                <w:rFonts w:eastAsia="仿宋_GB2312"/>
                <w:color w:val="000000"/>
                <w:szCs w:val="21"/>
              </w:rPr>
            </w:pPr>
            <w:r w:rsidRPr="009B0671">
              <w:rPr>
                <w:rFonts w:eastAsia="仿宋_GB2312"/>
                <w:color w:val="000000"/>
                <w:szCs w:val="21"/>
              </w:rPr>
              <w:t>浙江津膜环境科技有限公司</w:t>
            </w:r>
          </w:p>
          <w:p w:rsidR="009B0671" w:rsidRPr="009B0671" w:rsidRDefault="009B0671" w:rsidP="009B0671">
            <w:pPr>
              <w:rPr>
                <w:rFonts w:eastAsia="仿宋_GB2312"/>
                <w:color w:val="000000"/>
                <w:szCs w:val="21"/>
              </w:rPr>
            </w:pPr>
            <w:r w:rsidRPr="009B0671">
              <w:rPr>
                <w:rFonts w:eastAsia="仿宋_GB2312"/>
                <w:color w:val="000000"/>
                <w:szCs w:val="21"/>
              </w:rPr>
              <w:t>天津海钠环保科技有限公司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天津工业大学</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王海涛</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50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21</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精细化工行业高盐高浓度难降解有机废水无害化处理与废盐资源化集成技术研发</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天津理工大学环境科学与安全工程学院</w:t>
            </w:r>
          </w:p>
          <w:p w:rsidR="009B0671" w:rsidRPr="009B0671" w:rsidRDefault="009B0671" w:rsidP="009B0671">
            <w:pPr>
              <w:rPr>
                <w:rFonts w:eastAsia="仿宋_GB2312"/>
                <w:color w:val="000000"/>
                <w:szCs w:val="21"/>
              </w:rPr>
            </w:pPr>
            <w:r w:rsidRPr="009B0671">
              <w:rPr>
                <w:rFonts w:eastAsia="仿宋_GB2312"/>
                <w:color w:val="000000"/>
                <w:szCs w:val="21"/>
              </w:rPr>
              <w:t>中海油天津化工研究设计院有限公司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天津理工大学</w:t>
            </w:r>
          </w:p>
        </w:tc>
        <w:tc>
          <w:tcPr>
            <w:tcW w:w="979" w:type="dxa"/>
            <w:vAlign w:val="center"/>
          </w:tcPr>
          <w:p w:rsidR="009B0671" w:rsidRPr="009B0671" w:rsidRDefault="009B0671" w:rsidP="009B0671">
            <w:pPr>
              <w:jc w:val="center"/>
              <w:rPr>
                <w:rFonts w:eastAsia="仿宋_GB2312"/>
                <w:color w:val="000000"/>
                <w:szCs w:val="21"/>
              </w:rPr>
            </w:pPr>
            <w:proofErr w:type="gramStart"/>
            <w:r w:rsidRPr="009B0671">
              <w:rPr>
                <w:rFonts w:eastAsia="仿宋_GB2312"/>
                <w:color w:val="000000"/>
                <w:szCs w:val="21"/>
              </w:rPr>
              <w:t>冯</w:t>
            </w:r>
            <w:r w:rsidRPr="009B0671">
              <w:rPr>
                <w:color w:val="000000"/>
                <w:szCs w:val="21"/>
              </w:rPr>
              <w:t>炘</w:t>
            </w:r>
            <w:proofErr w:type="gramEnd"/>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50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lastRenderedPageBreak/>
              <w:t>22</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盐碱地原位改良及脱盐淋洗水循环利用技术</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国家海洋局天津海水淡化与综合利用研究所</w:t>
            </w:r>
          </w:p>
          <w:p w:rsidR="009B0671" w:rsidRPr="009B0671" w:rsidRDefault="009B0671" w:rsidP="009B0671">
            <w:pPr>
              <w:rPr>
                <w:rFonts w:eastAsia="仿宋_GB2312"/>
                <w:color w:val="000000"/>
                <w:szCs w:val="21"/>
              </w:rPr>
            </w:pPr>
            <w:r w:rsidRPr="009B0671">
              <w:rPr>
                <w:rFonts w:eastAsia="仿宋_GB2312"/>
                <w:color w:val="000000"/>
                <w:szCs w:val="21"/>
              </w:rPr>
              <w:t>天津绿茵景观生态建设股份有限公司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国家海洋局天津海水淡化与综合利用研究所</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王晓丽</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50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23</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天津市海岸带复合生态系统空间格局研究与功能提升技术研发及应用</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天津大学环境科学与工程学院</w:t>
            </w:r>
          </w:p>
          <w:p w:rsidR="009B0671" w:rsidRPr="009B0671" w:rsidRDefault="009B0671" w:rsidP="009B0671">
            <w:pPr>
              <w:rPr>
                <w:rFonts w:eastAsia="仿宋_GB2312"/>
                <w:color w:val="000000"/>
                <w:szCs w:val="21"/>
              </w:rPr>
            </w:pPr>
            <w:r w:rsidRPr="009B0671">
              <w:rPr>
                <w:rFonts w:eastAsia="仿宋_GB2312"/>
                <w:color w:val="000000"/>
                <w:szCs w:val="21"/>
              </w:rPr>
              <w:t>天津泰达绿化集团有限公司</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天津大学</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赵林</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50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24</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天津城市水体水质高光谱遥感监测与预警管理平台技术研发及应用</w:t>
            </w:r>
          </w:p>
        </w:tc>
        <w:tc>
          <w:tcPr>
            <w:tcW w:w="2826"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天津农学院水产学院</w:t>
            </w:r>
          </w:p>
          <w:p w:rsidR="009B0671" w:rsidRPr="009B0671" w:rsidRDefault="009B0671" w:rsidP="009B0671">
            <w:pPr>
              <w:rPr>
                <w:rFonts w:eastAsia="仿宋_GB2312"/>
                <w:color w:val="000000"/>
                <w:szCs w:val="21"/>
              </w:rPr>
            </w:pPr>
            <w:r w:rsidRPr="009B0671">
              <w:rPr>
                <w:rFonts w:eastAsia="仿宋_GB2312"/>
                <w:color w:val="000000"/>
                <w:szCs w:val="21"/>
              </w:rPr>
              <w:t>中国科学院水生生物研究所</w:t>
            </w:r>
          </w:p>
          <w:p w:rsidR="009B0671" w:rsidRPr="009B0671" w:rsidRDefault="009B0671" w:rsidP="009B0671">
            <w:pPr>
              <w:rPr>
                <w:rFonts w:eastAsia="仿宋_GB2312"/>
                <w:color w:val="000000"/>
                <w:szCs w:val="21"/>
              </w:rPr>
            </w:pPr>
            <w:r w:rsidRPr="009B0671">
              <w:rPr>
                <w:rFonts w:eastAsia="仿宋_GB2312"/>
                <w:color w:val="000000"/>
                <w:szCs w:val="21"/>
              </w:rPr>
              <w:t>天津市海河管理处</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天津农学院</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乔之怡</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50</w:t>
            </w:r>
          </w:p>
        </w:tc>
      </w:tr>
      <w:tr w:rsidR="009B0671" w:rsidTr="009B0671">
        <w:trPr>
          <w:cantSplit/>
          <w:trHeight w:val="20"/>
          <w:jc w:val="center"/>
        </w:trPr>
        <w:tc>
          <w:tcPr>
            <w:tcW w:w="592" w:type="dxa"/>
            <w:vAlign w:val="center"/>
          </w:tcPr>
          <w:p w:rsidR="009B0671" w:rsidRPr="009B0671" w:rsidRDefault="009B0671" w:rsidP="009B0671">
            <w:pPr>
              <w:jc w:val="center"/>
              <w:rPr>
                <w:rFonts w:eastAsia="仿宋_GB2312"/>
                <w:szCs w:val="21"/>
              </w:rPr>
            </w:pPr>
            <w:r w:rsidRPr="009B0671">
              <w:rPr>
                <w:rFonts w:eastAsia="仿宋_GB2312"/>
                <w:szCs w:val="21"/>
              </w:rPr>
              <w:t>25</w:t>
            </w:r>
          </w:p>
        </w:tc>
        <w:tc>
          <w:tcPr>
            <w:tcW w:w="2945"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废弃盐池改良修复集成技术的应用研究</w:t>
            </w:r>
          </w:p>
        </w:tc>
        <w:tc>
          <w:tcPr>
            <w:tcW w:w="2826" w:type="dxa"/>
            <w:vAlign w:val="center"/>
          </w:tcPr>
          <w:p w:rsidR="009B0671" w:rsidRPr="009B0671" w:rsidRDefault="009B0671" w:rsidP="009B0671">
            <w:pPr>
              <w:rPr>
                <w:rFonts w:eastAsia="仿宋_GB2312"/>
                <w:color w:val="000000"/>
                <w:szCs w:val="21"/>
              </w:rPr>
            </w:pPr>
            <w:proofErr w:type="gramStart"/>
            <w:r w:rsidRPr="009B0671">
              <w:rPr>
                <w:rFonts w:eastAsia="仿宋_GB2312"/>
                <w:color w:val="000000"/>
                <w:szCs w:val="21"/>
              </w:rPr>
              <w:t>京蓝北方</w:t>
            </w:r>
            <w:proofErr w:type="gramEnd"/>
            <w:r w:rsidRPr="009B0671">
              <w:rPr>
                <w:rFonts w:eastAsia="仿宋_GB2312"/>
                <w:color w:val="000000"/>
                <w:szCs w:val="21"/>
              </w:rPr>
              <w:t>园林（天津）有限公司</w:t>
            </w:r>
          </w:p>
          <w:p w:rsidR="009B0671" w:rsidRPr="009B0671" w:rsidRDefault="009B0671" w:rsidP="009B0671">
            <w:pPr>
              <w:rPr>
                <w:rFonts w:eastAsia="仿宋_GB2312"/>
                <w:color w:val="000000"/>
                <w:szCs w:val="21"/>
              </w:rPr>
            </w:pPr>
            <w:r w:rsidRPr="009B0671">
              <w:rPr>
                <w:rFonts w:eastAsia="仿宋_GB2312"/>
                <w:color w:val="000000"/>
                <w:szCs w:val="21"/>
              </w:rPr>
              <w:t>北京林业大学</w:t>
            </w:r>
          </w:p>
        </w:tc>
        <w:tc>
          <w:tcPr>
            <w:tcW w:w="1799" w:type="dxa"/>
            <w:vAlign w:val="center"/>
          </w:tcPr>
          <w:p w:rsidR="009B0671" w:rsidRPr="009B0671" w:rsidRDefault="009B0671" w:rsidP="009B0671">
            <w:pPr>
              <w:rPr>
                <w:rFonts w:eastAsia="仿宋_GB2312"/>
                <w:color w:val="000000"/>
                <w:szCs w:val="21"/>
              </w:rPr>
            </w:pPr>
            <w:r w:rsidRPr="009B0671">
              <w:rPr>
                <w:rFonts w:eastAsia="仿宋_GB2312"/>
                <w:color w:val="000000"/>
                <w:szCs w:val="21"/>
              </w:rPr>
              <w:t>天津市东丽区科学技术委员会</w:t>
            </w:r>
          </w:p>
        </w:tc>
        <w:tc>
          <w:tcPr>
            <w:tcW w:w="979"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刘海源</w:t>
            </w:r>
          </w:p>
        </w:tc>
        <w:tc>
          <w:tcPr>
            <w:tcW w:w="1205" w:type="dxa"/>
            <w:vAlign w:val="center"/>
          </w:tcPr>
          <w:p w:rsidR="009B0671" w:rsidRPr="009B0671" w:rsidRDefault="009B0671" w:rsidP="009B0671">
            <w:pPr>
              <w:jc w:val="center"/>
              <w:rPr>
                <w:rFonts w:eastAsia="仿宋_GB2312"/>
                <w:color w:val="000000"/>
                <w:szCs w:val="21"/>
              </w:rPr>
            </w:pPr>
            <w:r w:rsidRPr="009B0671">
              <w:rPr>
                <w:rFonts w:eastAsia="仿宋_GB2312"/>
                <w:color w:val="000000"/>
                <w:szCs w:val="21"/>
              </w:rPr>
              <w:t>50</w:t>
            </w:r>
          </w:p>
        </w:tc>
      </w:tr>
    </w:tbl>
    <w:p w:rsidR="00CB2BAE" w:rsidRDefault="00CB2BAE">
      <w:pPr>
        <w:widowControl/>
        <w:jc w:val="left"/>
      </w:pPr>
    </w:p>
    <w:p w:rsidR="00CB2BAE" w:rsidRDefault="00CB2BAE">
      <w:pPr>
        <w:widowControl/>
        <w:jc w:val="left"/>
      </w:pPr>
    </w:p>
    <w:sectPr w:rsidR="00CB2BA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A0" w:rsidRDefault="006A7AA0">
      <w:r>
        <w:separator/>
      </w:r>
    </w:p>
  </w:endnote>
  <w:endnote w:type="continuationSeparator" w:id="0">
    <w:p w:rsidR="006A7AA0" w:rsidRDefault="006A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2928"/>
    </w:sdtPr>
    <w:sdtEndPr>
      <w:rPr>
        <w:rFonts w:asciiTheme="minorEastAsia" w:eastAsiaTheme="minorEastAsia" w:hAnsiTheme="minorEastAsia"/>
        <w:sz w:val="28"/>
        <w:szCs w:val="28"/>
      </w:rPr>
    </w:sdtEndPr>
    <w:sdtContent>
      <w:p w:rsidR="00CB2BAE" w:rsidRDefault="00D836A3">
        <w:pPr>
          <w:pStyle w:val="a9"/>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7D3BF3" w:rsidRPr="007D3BF3">
          <w:rPr>
            <w:rFonts w:asciiTheme="minorEastAsia" w:eastAsiaTheme="minorEastAsia" w:hAnsiTheme="minorEastAsia"/>
            <w:noProof/>
            <w:sz w:val="28"/>
            <w:szCs w:val="28"/>
            <w:lang w:val="zh-CN"/>
          </w:rPr>
          <w:t>1</w:t>
        </w:r>
        <w:r>
          <w:rPr>
            <w:rFonts w:asciiTheme="minorEastAsia" w:eastAsiaTheme="minorEastAsia" w:hAnsiTheme="minorEastAsia"/>
            <w:sz w:val="28"/>
            <w:szCs w:val="28"/>
          </w:rPr>
          <w:fldChar w:fldCharType="end"/>
        </w:r>
      </w:p>
    </w:sdtContent>
  </w:sdt>
  <w:p w:rsidR="00CB2BAE" w:rsidRDefault="00CB2B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A0" w:rsidRDefault="006A7AA0">
      <w:r>
        <w:separator/>
      </w:r>
    </w:p>
  </w:footnote>
  <w:footnote w:type="continuationSeparator" w:id="0">
    <w:p w:rsidR="006A7AA0" w:rsidRDefault="006A7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511C"/>
    <w:rsid w:val="0000643D"/>
    <w:rsid w:val="00031B93"/>
    <w:rsid w:val="00036BCE"/>
    <w:rsid w:val="00042FFB"/>
    <w:rsid w:val="00054F05"/>
    <w:rsid w:val="00060CB0"/>
    <w:rsid w:val="00066651"/>
    <w:rsid w:val="00067A21"/>
    <w:rsid w:val="00071423"/>
    <w:rsid w:val="00072FA4"/>
    <w:rsid w:val="00073055"/>
    <w:rsid w:val="0007590B"/>
    <w:rsid w:val="000818E8"/>
    <w:rsid w:val="000878DB"/>
    <w:rsid w:val="000A5AB1"/>
    <w:rsid w:val="000B2562"/>
    <w:rsid w:val="000B3254"/>
    <w:rsid w:val="000D2A8A"/>
    <w:rsid w:val="000D6638"/>
    <w:rsid w:val="000E45B7"/>
    <w:rsid w:val="000F1C5F"/>
    <w:rsid w:val="000F304C"/>
    <w:rsid w:val="00101863"/>
    <w:rsid w:val="00102D6E"/>
    <w:rsid w:val="001112B7"/>
    <w:rsid w:val="00111E2A"/>
    <w:rsid w:val="001143FE"/>
    <w:rsid w:val="00124C1E"/>
    <w:rsid w:val="00132069"/>
    <w:rsid w:val="00132891"/>
    <w:rsid w:val="00132F21"/>
    <w:rsid w:val="00150233"/>
    <w:rsid w:val="001629C0"/>
    <w:rsid w:val="00162EEA"/>
    <w:rsid w:val="0017251C"/>
    <w:rsid w:val="00180019"/>
    <w:rsid w:val="0018377F"/>
    <w:rsid w:val="00197408"/>
    <w:rsid w:val="001A1479"/>
    <w:rsid w:val="001A32BF"/>
    <w:rsid w:val="001B431A"/>
    <w:rsid w:val="001B4F5B"/>
    <w:rsid w:val="001C007A"/>
    <w:rsid w:val="001C047A"/>
    <w:rsid w:val="001D19D9"/>
    <w:rsid w:val="001E4B9D"/>
    <w:rsid w:val="001F030F"/>
    <w:rsid w:val="001F5214"/>
    <w:rsid w:val="00201FE5"/>
    <w:rsid w:val="002164CE"/>
    <w:rsid w:val="00220DE7"/>
    <w:rsid w:val="00234009"/>
    <w:rsid w:val="002401EA"/>
    <w:rsid w:val="00240AD1"/>
    <w:rsid w:val="00241C5A"/>
    <w:rsid w:val="00254520"/>
    <w:rsid w:val="002557FC"/>
    <w:rsid w:val="002641D8"/>
    <w:rsid w:val="00266630"/>
    <w:rsid w:val="00266D9D"/>
    <w:rsid w:val="00270511"/>
    <w:rsid w:val="0027472F"/>
    <w:rsid w:val="00276250"/>
    <w:rsid w:val="002952C5"/>
    <w:rsid w:val="002A2910"/>
    <w:rsid w:val="002A2D5B"/>
    <w:rsid w:val="002A301D"/>
    <w:rsid w:val="002B3713"/>
    <w:rsid w:val="002B4B1F"/>
    <w:rsid w:val="002B56E9"/>
    <w:rsid w:val="002C20DC"/>
    <w:rsid w:val="002D11B6"/>
    <w:rsid w:val="002E0795"/>
    <w:rsid w:val="002E4045"/>
    <w:rsid w:val="002F0D70"/>
    <w:rsid w:val="002F2C69"/>
    <w:rsid w:val="002F3132"/>
    <w:rsid w:val="00300C1F"/>
    <w:rsid w:val="0031465C"/>
    <w:rsid w:val="00315C9E"/>
    <w:rsid w:val="00317934"/>
    <w:rsid w:val="0033749D"/>
    <w:rsid w:val="00344BBA"/>
    <w:rsid w:val="00346DA7"/>
    <w:rsid w:val="00355534"/>
    <w:rsid w:val="00362EDF"/>
    <w:rsid w:val="003664B6"/>
    <w:rsid w:val="00367442"/>
    <w:rsid w:val="00370010"/>
    <w:rsid w:val="00373728"/>
    <w:rsid w:val="003737A4"/>
    <w:rsid w:val="00375BBD"/>
    <w:rsid w:val="00375FA0"/>
    <w:rsid w:val="00381404"/>
    <w:rsid w:val="003820E3"/>
    <w:rsid w:val="00384144"/>
    <w:rsid w:val="003A732C"/>
    <w:rsid w:val="003C31BA"/>
    <w:rsid w:val="003C5E6A"/>
    <w:rsid w:val="003D6235"/>
    <w:rsid w:val="003D7860"/>
    <w:rsid w:val="003E0C32"/>
    <w:rsid w:val="003E2C3B"/>
    <w:rsid w:val="003F0199"/>
    <w:rsid w:val="003F362D"/>
    <w:rsid w:val="004117B0"/>
    <w:rsid w:val="004124CC"/>
    <w:rsid w:val="00414A69"/>
    <w:rsid w:val="0041505E"/>
    <w:rsid w:val="004206DA"/>
    <w:rsid w:val="004277F9"/>
    <w:rsid w:val="00432062"/>
    <w:rsid w:val="00434A03"/>
    <w:rsid w:val="0043583C"/>
    <w:rsid w:val="004421A2"/>
    <w:rsid w:val="0045075C"/>
    <w:rsid w:val="0046553D"/>
    <w:rsid w:val="0047377B"/>
    <w:rsid w:val="00475E26"/>
    <w:rsid w:val="00481845"/>
    <w:rsid w:val="004917AA"/>
    <w:rsid w:val="004B3C28"/>
    <w:rsid w:val="004B49E5"/>
    <w:rsid w:val="004B4A72"/>
    <w:rsid w:val="004C52AC"/>
    <w:rsid w:val="004C58A0"/>
    <w:rsid w:val="004D20D3"/>
    <w:rsid w:val="004D464F"/>
    <w:rsid w:val="004E3E87"/>
    <w:rsid w:val="004F7C78"/>
    <w:rsid w:val="005011DB"/>
    <w:rsid w:val="0050156F"/>
    <w:rsid w:val="005146B9"/>
    <w:rsid w:val="005218FD"/>
    <w:rsid w:val="00523DC2"/>
    <w:rsid w:val="00523F49"/>
    <w:rsid w:val="005249FB"/>
    <w:rsid w:val="0053758F"/>
    <w:rsid w:val="00543704"/>
    <w:rsid w:val="00550101"/>
    <w:rsid w:val="005509B8"/>
    <w:rsid w:val="00550FE4"/>
    <w:rsid w:val="005538A4"/>
    <w:rsid w:val="00556EDF"/>
    <w:rsid w:val="00560459"/>
    <w:rsid w:val="005608B3"/>
    <w:rsid w:val="00565527"/>
    <w:rsid w:val="005656F5"/>
    <w:rsid w:val="0056708F"/>
    <w:rsid w:val="00570907"/>
    <w:rsid w:val="00574ADE"/>
    <w:rsid w:val="00580B08"/>
    <w:rsid w:val="0058435A"/>
    <w:rsid w:val="0059622B"/>
    <w:rsid w:val="0059672E"/>
    <w:rsid w:val="005A02CE"/>
    <w:rsid w:val="005A2E95"/>
    <w:rsid w:val="005B1A81"/>
    <w:rsid w:val="005C2733"/>
    <w:rsid w:val="005C326C"/>
    <w:rsid w:val="005C4B63"/>
    <w:rsid w:val="005D3968"/>
    <w:rsid w:val="005D4BA1"/>
    <w:rsid w:val="005D50FB"/>
    <w:rsid w:val="005E774B"/>
    <w:rsid w:val="005F1DB1"/>
    <w:rsid w:val="005F4B5F"/>
    <w:rsid w:val="0060349C"/>
    <w:rsid w:val="00611716"/>
    <w:rsid w:val="00611DBD"/>
    <w:rsid w:val="006133EB"/>
    <w:rsid w:val="00617238"/>
    <w:rsid w:val="006204C2"/>
    <w:rsid w:val="006235F1"/>
    <w:rsid w:val="006262F0"/>
    <w:rsid w:val="00630735"/>
    <w:rsid w:val="00635832"/>
    <w:rsid w:val="00635D40"/>
    <w:rsid w:val="00637169"/>
    <w:rsid w:val="00640EDD"/>
    <w:rsid w:val="00655118"/>
    <w:rsid w:val="00662CC9"/>
    <w:rsid w:val="006664DD"/>
    <w:rsid w:val="00682C93"/>
    <w:rsid w:val="0069161A"/>
    <w:rsid w:val="00697095"/>
    <w:rsid w:val="006A7748"/>
    <w:rsid w:val="006A7AA0"/>
    <w:rsid w:val="006B2595"/>
    <w:rsid w:val="006B787D"/>
    <w:rsid w:val="006C7F10"/>
    <w:rsid w:val="006D0292"/>
    <w:rsid w:val="006D27B9"/>
    <w:rsid w:val="006D4B56"/>
    <w:rsid w:val="006E5352"/>
    <w:rsid w:val="006F01D8"/>
    <w:rsid w:val="006F144E"/>
    <w:rsid w:val="00707960"/>
    <w:rsid w:val="00722C2C"/>
    <w:rsid w:val="007270DB"/>
    <w:rsid w:val="00747F7B"/>
    <w:rsid w:val="00752525"/>
    <w:rsid w:val="007537B3"/>
    <w:rsid w:val="00754808"/>
    <w:rsid w:val="00756FA4"/>
    <w:rsid w:val="00760FBE"/>
    <w:rsid w:val="00791512"/>
    <w:rsid w:val="00796C6A"/>
    <w:rsid w:val="007A0B86"/>
    <w:rsid w:val="007C0A04"/>
    <w:rsid w:val="007D1AD5"/>
    <w:rsid w:val="007D3BF3"/>
    <w:rsid w:val="007D7F1C"/>
    <w:rsid w:val="007E6C58"/>
    <w:rsid w:val="007F0ECC"/>
    <w:rsid w:val="007F142D"/>
    <w:rsid w:val="00803E09"/>
    <w:rsid w:val="00821151"/>
    <w:rsid w:val="0082136D"/>
    <w:rsid w:val="0083390D"/>
    <w:rsid w:val="00843E51"/>
    <w:rsid w:val="00846CEA"/>
    <w:rsid w:val="0085206F"/>
    <w:rsid w:val="008526C9"/>
    <w:rsid w:val="008564D3"/>
    <w:rsid w:val="008575B1"/>
    <w:rsid w:val="00860307"/>
    <w:rsid w:val="008716CB"/>
    <w:rsid w:val="008751F4"/>
    <w:rsid w:val="0088056B"/>
    <w:rsid w:val="00883A39"/>
    <w:rsid w:val="00884F5A"/>
    <w:rsid w:val="00885356"/>
    <w:rsid w:val="00886936"/>
    <w:rsid w:val="008A2E01"/>
    <w:rsid w:val="008A78AC"/>
    <w:rsid w:val="008B2ED4"/>
    <w:rsid w:val="008B7F25"/>
    <w:rsid w:val="008C257D"/>
    <w:rsid w:val="008C2F47"/>
    <w:rsid w:val="008D0C23"/>
    <w:rsid w:val="008D452B"/>
    <w:rsid w:val="008E4011"/>
    <w:rsid w:val="008E729D"/>
    <w:rsid w:val="008F7385"/>
    <w:rsid w:val="00910E16"/>
    <w:rsid w:val="00912100"/>
    <w:rsid w:val="009342C5"/>
    <w:rsid w:val="009352EC"/>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B0671"/>
    <w:rsid w:val="009D230A"/>
    <w:rsid w:val="009D7F53"/>
    <w:rsid w:val="009E0A38"/>
    <w:rsid w:val="009E0F8B"/>
    <w:rsid w:val="009E4529"/>
    <w:rsid w:val="009E7D5F"/>
    <w:rsid w:val="009F72A2"/>
    <w:rsid w:val="00A003DB"/>
    <w:rsid w:val="00A032D3"/>
    <w:rsid w:val="00A177F5"/>
    <w:rsid w:val="00A207FF"/>
    <w:rsid w:val="00A318D1"/>
    <w:rsid w:val="00A35CEE"/>
    <w:rsid w:val="00A37FB9"/>
    <w:rsid w:val="00A65513"/>
    <w:rsid w:val="00A6564E"/>
    <w:rsid w:val="00A74AC8"/>
    <w:rsid w:val="00A80D1A"/>
    <w:rsid w:val="00A85779"/>
    <w:rsid w:val="00A87857"/>
    <w:rsid w:val="00A95701"/>
    <w:rsid w:val="00A95767"/>
    <w:rsid w:val="00A96379"/>
    <w:rsid w:val="00A96780"/>
    <w:rsid w:val="00AA5256"/>
    <w:rsid w:val="00AA7812"/>
    <w:rsid w:val="00AB0A15"/>
    <w:rsid w:val="00AC3816"/>
    <w:rsid w:val="00AE1AB1"/>
    <w:rsid w:val="00AE6996"/>
    <w:rsid w:val="00AF603D"/>
    <w:rsid w:val="00AF6DD4"/>
    <w:rsid w:val="00B006AB"/>
    <w:rsid w:val="00B0428E"/>
    <w:rsid w:val="00B1368F"/>
    <w:rsid w:val="00B22162"/>
    <w:rsid w:val="00B31B9F"/>
    <w:rsid w:val="00B43CF4"/>
    <w:rsid w:val="00B478FC"/>
    <w:rsid w:val="00B50F79"/>
    <w:rsid w:val="00B56A9B"/>
    <w:rsid w:val="00B742C2"/>
    <w:rsid w:val="00B75EEF"/>
    <w:rsid w:val="00B76A75"/>
    <w:rsid w:val="00B82BE7"/>
    <w:rsid w:val="00B831D5"/>
    <w:rsid w:val="00B87896"/>
    <w:rsid w:val="00B9267A"/>
    <w:rsid w:val="00BB41EC"/>
    <w:rsid w:val="00BC0B12"/>
    <w:rsid w:val="00BC4EB1"/>
    <w:rsid w:val="00BC5ECF"/>
    <w:rsid w:val="00BC619B"/>
    <w:rsid w:val="00BD1F15"/>
    <w:rsid w:val="00BD5AB3"/>
    <w:rsid w:val="00BE261B"/>
    <w:rsid w:val="00BE733D"/>
    <w:rsid w:val="00BF2653"/>
    <w:rsid w:val="00C01B44"/>
    <w:rsid w:val="00C06CFC"/>
    <w:rsid w:val="00C135E0"/>
    <w:rsid w:val="00C200CE"/>
    <w:rsid w:val="00C30B5E"/>
    <w:rsid w:val="00C45536"/>
    <w:rsid w:val="00C555EE"/>
    <w:rsid w:val="00C77A53"/>
    <w:rsid w:val="00C82565"/>
    <w:rsid w:val="00CA45CE"/>
    <w:rsid w:val="00CA4A4E"/>
    <w:rsid w:val="00CB2BAE"/>
    <w:rsid w:val="00CC3320"/>
    <w:rsid w:val="00CC78C7"/>
    <w:rsid w:val="00CE41C8"/>
    <w:rsid w:val="00D050E7"/>
    <w:rsid w:val="00D25CA0"/>
    <w:rsid w:val="00D261F5"/>
    <w:rsid w:val="00D27CD0"/>
    <w:rsid w:val="00D27F2E"/>
    <w:rsid w:val="00D31E63"/>
    <w:rsid w:val="00D32C2C"/>
    <w:rsid w:val="00D34A00"/>
    <w:rsid w:val="00D3544E"/>
    <w:rsid w:val="00D37EB4"/>
    <w:rsid w:val="00D4254E"/>
    <w:rsid w:val="00D508DA"/>
    <w:rsid w:val="00D52859"/>
    <w:rsid w:val="00D56AC6"/>
    <w:rsid w:val="00D741E2"/>
    <w:rsid w:val="00D76B89"/>
    <w:rsid w:val="00D82705"/>
    <w:rsid w:val="00D83235"/>
    <w:rsid w:val="00D836A3"/>
    <w:rsid w:val="00D83D3E"/>
    <w:rsid w:val="00DA37D8"/>
    <w:rsid w:val="00DA387E"/>
    <w:rsid w:val="00DA6D1C"/>
    <w:rsid w:val="00DB0999"/>
    <w:rsid w:val="00DB3DEE"/>
    <w:rsid w:val="00DD2081"/>
    <w:rsid w:val="00DE082F"/>
    <w:rsid w:val="00DE6F11"/>
    <w:rsid w:val="00DF6364"/>
    <w:rsid w:val="00E13F8A"/>
    <w:rsid w:val="00E17859"/>
    <w:rsid w:val="00E22276"/>
    <w:rsid w:val="00E22CCC"/>
    <w:rsid w:val="00E248BF"/>
    <w:rsid w:val="00E250ED"/>
    <w:rsid w:val="00E446D9"/>
    <w:rsid w:val="00E549D2"/>
    <w:rsid w:val="00E57278"/>
    <w:rsid w:val="00E6067D"/>
    <w:rsid w:val="00E62459"/>
    <w:rsid w:val="00E70202"/>
    <w:rsid w:val="00E813D3"/>
    <w:rsid w:val="00E82B47"/>
    <w:rsid w:val="00E85CD3"/>
    <w:rsid w:val="00E9761B"/>
    <w:rsid w:val="00EA0E5E"/>
    <w:rsid w:val="00EA6C23"/>
    <w:rsid w:val="00EB7C31"/>
    <w:rsid w:val="00EC3532"/>
    <w:rsid w:val="00EC65FA"/>
    <w:rsid w:val="00EC7605"/>
    <w:rsid w:val="00ED41DA"/>
    <w:rsid w:val="00ED5B38"/>
    <w:rsid w:val="00EE0EC7"/>
    <w:rsid w:val="00EE2087"/>
    <w:rsid w:val="00EF09F3"/>
    <w:rsid w:val="00EF1599"/>
    <w:rsid w:val="00EF263F"/>
    <w:rsid w:val="00EF43FA"/>
    <w:rsid w:val="00EF65BF"/>
    <w:rsid w:val="00F015DF"/>
    <w:rsid w:val="00F03462"/>
    <w:rsid w:val="00F07EA8"/>
    <w:rsid w:val="00F13249"/>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A0677"/>
    <w:rsid w:val="00FA30BD"/>
    <w:rsid w:val="00FA50BA"/>
    <w:rsid w:val="00FA7676"/>
    <w:rsid w:val="00FC28CB"/>
    <w:rsid w:val="00FC557F"/>
    <w:rsid w:val="00FC622A"/>
    <w:rsid w:val="00FD5E20"/>
    <w:rsid w:val="00FD79A0"/>
    <w:rsid w:val="00FE1BAD"/>
    <w:rsid w:val="00FE46D0"/>
    <w:rsid w:val="00FE5582"/>
    <w:rsid w:val="00FE7ADF"/>
    <w:rsid w:val="00FF24C9"/>
    <w:rsid w:val="00FF6267"/>
    <w:rsid w:val="2C802A54"/>
    <w:rsid w:val="7D4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F0408-D96F-4686-86AD-832A5813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姜硕</dc:creator>
  <cp:lastModifiedBy>发展计划处</cp:lastModifiedBy>
  <cp:revision>208</cp:revision>
  <cp:lastPrinted>2016-11-04T06:51:00Z</cp:lastPrinted>
  <dcterms:created xsi:type="dcterms:W3CDTF">2014-09-05T06:13:00Z</dcterms:created>
  <dcterms:modified xsi:type="dcterms:W3CDTF">2018-09-21T06:49:00Z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