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E" w:rsidRDefault="00D836A3">
      <w:pPr>
        <w:rPr>
          <w:rFonts w:eastAsia="黑体"/>
          <w:sz w:val="32"/>
          <w:szCs w:val="32"/>
        </w:rPr>
      </w:pPr>
      <w:r>
        <w:rPr>
          <w:rFonts w:eastAsia="黑体"/>
          <w:sz w:val="32"/>
          <w:szCs w:val="32"/>
        </w:rPr>
        <w:t>附件</w:t>
      </w:r>
      <w:r w:rsidR="002F624A">
        <w:rPr>
          <w:rFonts w:eastAsia="黑体" w:hint="eastAsia"/>
          <w:sz w:val="32"/>
          <w:szCs w:val="32"/>
        </w:rPr>
        <w:t>2</w:t>
      </w:r>
    </w:p>
    <w:p w:rsidR="00CB2BAE" w:rsidRDefault="00CB2BAE">
      <w:pPr>
        <w:rPr>
          <w:rFonts w:eastAsia="黑体"/>
          <w:sz w:val="32"/>
          <w:szCs w:val="32"/>
        </w:rPr>
      </w:pPr>
    </w:p>
    <w:p w:rsidR="0010425E" w:rsidRDefault="008E155E" w:rsidP="0010425E">
      <w:pPr>
        <w:spacing w:line="560" w:lineRule="exact"/>
        <w:jc w:val="center"/>
        <w:rPr>
          <w:rFonts w:eastAsia="方正小标宋简体"/>
          <w:sz w:val="44"/>
          <w:szCs w:val="44"/>
        </w:rPr>
      </w:pPr>
      <w:r>
        <w:rPr>
          <w:rFonts w:eastAsia="方正小标宋简体" w:hint="eastAsia"/>
          <w:sz w:val="44"/>
          <w:szCs w:val="44"/>
        </w:rPr>
        <w:t xml:space="preserve"> </w:t>
      </w:r>
      <w:r w:rsidR="0010425E" w:rsidRPr="0010425E">
        <w:rPr>
          <w:rFonts w:eastAsia="方正小标宋简体" w:hint="eastAsia"/>
          <w:sz w:val="44"/>
          <w:szCs w:val="44"/>
        </w:rPr>
        <w:t>2018</w:t>
      </w:r>
      <w:r w:rsidR="0010425E" w:rsidRPr="0010425E">
        <w:rPr>
          <w:rFonts w:eastAsia="方正小标宋简体" w:hint="eastAsia"/>
          <w:sz w:val="44"/>
          <w:szCs w:val="44"/>
        </w:rPr>
        <w:t>年天津市京津冀基础研究合作专项</w:t>
      </w:r>
    </w:p>
    <w:p w:rsidR="00CB2BAE" w:rsidRDefault="0010425E" w:rsidP="0010425E">
      <w:pPr>
        <w:spacing w:line="560" w:lineRule="exact"/>
        <w:jc w:val="center"/>
        <w:rPr>
          <w:rFonts w:eastAsia="方正小标宋简体"/>
          <w:sz w:val="44"/>
          <w:szCs w:val="44"/>
        </w:rPr>
      </w:pPr>
      <w:r w:rsidRPr="0010425E">
        <w:rPr>
          <w:rFonts w:eastAsia="方正小标宋简体" w:hint="eastAsia"/>
          <w:sz w:val="44"/>
          <w:szCs w:val="44"/>
        </w:rPr>
        <w:t>项目拟立项清单</w:t>
      </w:r>
    </w:p>
    <w:p w:rsidR="00CB2BAE" w:rsidRDefault="00CB2BAE">
      <w:pPr>
        <w:spacing w:line="560" w:lineRule="exact"/>
        <w:rPr>
          <w:rFonts w:eastAsia="方正小标宋简体"/>
          <w:sz w:val="44"/>
          <w:szCs w:val="44"/>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945"/>
        <w:gridCol w:w="2445"/>
        <w:gridCol w:w="1799"/>
        <w:gridCol w:w="979"/>
        <w:gridCol w:w="1205"/>
      </w:tblGrid>
      <w:tr w:rsidR="00CB2BAE" w:rsidTr="00957F37">
        <w:trPr>
          <w:cantSplit/>
          <w:trHeight w:val="555"/>
          <w:tblHeader/>
          <w:jc w:val="center"/>
        </w:trPr>
        <w:tc>
          <w:tcPr>
            <w:tcW w:w="592" w:type="dxa"/>
            <w:vAlign w:val="center"/>
          </w:tcPr>
          <w:p w:rsidR="00CB2BAE" w:rsidRDefault="00D836A3" w:rsidP="004B4A72">
            <w:pPr>
              <w:snapToGrid w:val="0"/>
              <w:jc w:val="center"/>
              <w:rPr>
                <w:rFonts w:eastAsia="黑体"/>
                <w:bCs/>
                <w:sz w:val="24"/>
              </w:rPr>
            </w:pPr>
            <w:r>
              <w:rPr>
                <w:rFonts w:eastAsia="黑体"/>
                <w:bCs/>
                <w:sz w:val="24"/>
              </w:rPr>
              <w:t>序号</w:t>
            </w:r>
          </w:p>
        </w:tc>
        <w:tc>
          <w:tcPr>
            <w:tcW w:w="2945" w:type="dxa"/>
            <w:vAlign w:val="center"/>
          </w:tcPr>
          <w:p w:rsidR="00CB2BAE" w:rsidRDefault="00D836A3">
            <w:pPr>
              <w:snapToGrid w:val="0"/>
              <w:jc w:val="center"/>
              <w:rPr>
                <w:rFonts w:eastAsia="黑体"/>
                <w:bCs/>
                <w:sz w:val="24"/>
              </w:rPr>
            </w:pPr>
            <w:r>
              <w:rPr>
                <w:rFonts w:eastAsia="黑体"/>
                <w:bCs/>
                <w:sz w:val="24"/>
              </w:rPr>
              <w:t>项目名称</w:t>
            </w:r>
          </w:p>
        </w:tc>
        <w:tc>
          <w:tcPr>
            <w:tcW w:w="2445" w:type="dxa"/>
            <w:vAlign w:val="center"/>
          </w:tcPr>
          <w:p w:rsidR="00CB2BAE" w:rsidRDefault="00D836A3">
            <w:pPr>
              <w:snapToGrid w:val="0"/>
              <w:jc w:val="center"/>
              <w:rPr>
                <w:rFonts w:eastAsia="黑体"/>
                <w:bCs/>
                <w:sz w:val="24"/>
              </w:rPr>
            </w:pPr>
            <w:r>
              <w:rPr>
                <w:rFonts w:eastAsia="黑体"/>
                <w:bCs/>
                <w:sz w:val="24"/>
              </w:rPr>
              <w:t>承担单位</w:t>
            </w:r>
          </w:p>
        </w:tc>
        <w:tc>
          <w:tcPr>
            <w:tcW w:w="1799" w:type="dxa"/>
            <w:vAlign w:val="center"/>
          </w:tcPr>
          <w:p w:rsidR="00CB2BAE" w:rsidRDefault="00EB7C31" w:rsidP="00EB7C31">
            <w:pPr>
              <w:snapToGrid w:val="0"/>
              <w:jc w:val="center"/>
              <w:rPr>
                <w:rFonts w:eastAsia="黑体"/>
                <w:bCs/>
                <w:sz w:val="24"/>
              </w:rPr>
            </w:pPr>
            <w:r w:rsidRPr="00EB7C31">
              <w:rPr>
                <w:rFonts w:eastAsia="黑体" w:hint="eastAsia"/>
                <w:bCs/>
                <w:sz w:val="24"/>
              </w:rPr>
              <w:t>组织单位</w:t>
            </w:r>
          </w:p>
        </w:tc>
        <w:tc>
          <w:tcPr>
            <w:tcW w:w="979" w:type="dxa"/>
            <w:vAlign w:val="center"/>
          </w:tcPr>
          <w:p w:rsidR="00CB2BAE" w:rsidRDefault="00D836A3" w:rsidP="004B4A72">
            <w:pPr>
              <w:snapToGrid w:val="0"/>
              <w:jc w:val="center"/>
              <w:rPr>
                <w:rFonts w:eastAsia="黑体"/>
                <w:bCs/>
                <w:sz w:val="24"/>
              </w:rPr>
            </w:pPr>
            <w:r>
              <w:rPr>
                <w:rFonts w:eastAsia="黑体"/>
                <w:bCs/>
                <w:sz w:val="24"/>
              </w:rPr>
              <w:t>项</w:t>
            </w:r>
            <w:r>
              <w:rPr>
                <w:rFonts w:eastAsia="黑体"/>
                <w:bCs/>
                <w:sz w:val="24"/>
              </w:rPr>
              <w:t xml:space="preserve">  </w:t>
            </w:r>
            <w:r>
              <w:rPr>
                <w:rFonts w:eastAsia="黑体"/>
                <w:bCs/>
                <w:sz w:val="24"/>
              </w:rPr>
              <w:t>目</w:t>
            </w:r>
          </w:p>
          <w:p w:rsidR="00CB2BAE" w:rsidRDefault="00D836A3" w:rsidP="004B4A72">
            <w:pPr>
              <w:snapToGrid w:val="0"/>
              <w:jc w:val="center"/>
              <w:rPr>
                <w:rFonts w:eastAsia="黑体"/>
                <w:bCs/>
                <w:sz w:val="24"/>
              </w:rPr>
            </w:pPr>
            <w:r>
              <w:rPr>
                <w:rFonts w:eastAsia="黑体"/>
                <w:bCs/>
                <w:sz w:val="24"/>
              </w:rPr>
              <w:t>负责人</w:t>
            </w:r>
          </w:p>
        </w:tc>
        <w:tc>
          <w:tcPr>
            <w:tcW w:w="1205" w:type="dxa"/>
            <w:vAlign w:val="center"/>
          </w:tcPr>
          <w:p w:rsidR="00CB2BAE" w:rsidRDefault="00D836A3" w:rsidP="004B4A72">
            <w:pPr>
              <w:snapToGrid w:val="0"/>
              <w:jc w:val="center"/>
              <w:rPr>
                <w:rFonts w:eastAsia="黑体"/>
                <w:bCs/>
                <w:sz w:val="24"/>
              </w:rPr>
            </w:pPr>
            <w:r>
              <w:rPr>
                <w:rFonts w:eastAsia="黑体"/>
                <w:bCs/>
                <w:sz w:val="24"/>
              </w:rPr>
              <w:t>市财政</w:t>
            </w:r>
          </w:p>
          <w:p w:rsidR="00CB2BAE" w:rsidRDefault="00D836A3" w:rsidP="004B4A72">
            <w:pPr>
              <w:snapToGrid w:val="0"/>
              <w:jc w:val="center"/>
              <w:rPr>
                <w:rFonts w:eastAsia="黑体"/>
                <w:bCs/>
                <w:sz w:val="24"/>
              </w:rPr>
            </w:pPr>
            <w:r>
              <w:rPr>
                <w:rFonts w:eastAsia="黑体"/>
                <w:bCs/>
                <w:sz w:val="24"/>
              </w:rPr>
              <w:t>支持额度</w:t>
            </w:r>
          </w:p>
          <w:p w:rsidR="00CB2BAE" w:rsidRDefault="00D836A3" w:rsidP="004B4A72">
            <w:pPr>
              <w:snapToGrid w:val="0"/>
              <w:jc w:val="center"/>
              <w:rPr>
                <w:rFonts w:eastAsia="黑体"/>
                <w:bCs/>
                <w:sz w:val="24"/>
              </w:rPr>
            </w:pPr>
            <w:r>
              <w:rPr>
                <w:rFonts w:eastAsia="黑体"/>
                <w:bCs/>
                <w:sz w:val="24"/>
              </w:rPr>
              <w:t>（万元）</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1</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巨噬细胞极化在激素耐药</w:t>
            </w:r>
            <w:r w:rsidRPr="0010425E">
              <w:rPr>
                <w:rFonts w:eastAsia="仿宋_GB2312"/>
                <w:kern w:val="0"/>
                <w:szCs w:val="21"/>
              </w:rPr>
              <w:t>/</w:t>
            </w:r>
            <w:r w:rsidRPr="0010425E">
              <w:rPr>
                <w:rFonts w:eastAsia="仿宋_GB2312"/>
                <w:kern w:val="0"/>
                <w:szCs w:val="21"/>
              </w:rPr>
              <w:t>复发</w:t>
            </w:r>
            <w:r w:rsidRPr="0010425E">
              <w:rPr>
                <w:rFonts w:eastAsia="仿宋_GB2312"/>
                <w:kern w:val="0"/>
                <w:szCs w:val="21"/>
              </w:rPr>
              <w:t>ITP</w:t>
            </w:r>
            <w:r w:rsidRPr="0010425E">
              <w:rPr>
                <w:rFonts w:eastAsia="仿宋_GB2312"/>
                <w:kern w:val="0"/>
                <w:szCs w:val="21"/>
              </w:rPr>
              <w:t>发病机制中的作用</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中国医学科学院血液病医院</w:t>
            </w:r>
            <w:r w:rsidR="004D43B9" w:rsidRPr="0010425E">
              <w:rPr>
                <w:rFonts w:eastAsia="仿宋_GB2312"/>
                <w:kern w:val="0"/>
                <w:szCs w:val="21"/>
              </w:rPr>
              <w:t>（血液学研究所）</w:t>
            </w:r>
          </w:p>
        </w:tc>
        <w:tc>
          <w:tcPr>
            <w:tcW w:w="1799"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中国医学科学院血液病医院</w:t>
            </w:r>
            <w:r w:rsidR="004D43B9" w:rsidRPr="0010425E">
              <w:rPr>
                <w:rFonts w:eastAsia="仿宋_GB2312"/>
                <w:kern w:val="0"/>
                <w:szCs w:val="21"/>
              </w:rPr>
              <w:t>（血液学研究所）</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张磊</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2</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HER2</w:t>
            </w:r>
            <w:r w:rsidRPr="0010425E">
              <w:rPr>
                <w:rFonts w:eastAsia="仿宋_GB2312"/>
                <w:kern w:val="0"/>
                <w:szCs w:val="21"/>
              </w:rPr>
              <w:t>靶向</w:t>
            </w:r>
            <w:r w:rsidRPr="0010425E">
              <w:rPr>
                <w:rFonts w:eastAsia="仿宋_GB2312"/>
                <w:kern w:val="0"/>
                <w:szCs w:val="21"/>
              </w:rPr>
              <w:t>PET</w:t>
            </w:r>
            <w:r w:rsidRPr="0010425E">
              <w:rPr>
                <w:rFonts w:eastAsia="仿宋_GB2312"/>
                <w:kern w:val="0"/>
                <w:szCs w:val="21"/>
              </w:rPr>
              <w:t>探针的构建及其指导肿瘤精准诊疗的临床转化</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天津医科大学肿瘤医院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天津医科大学</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陈薇</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3</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生酮饮食治疗难治性癫痫的分子机制及</w:t>
            </w:r>
            <w:proofErr w:type="gramStart"/>
            <w:r w:rsidRPr="0010425E">
              <w:rPr>
                <w:rFonts w:eastAsia="仿宋_GB2312"/>
                <w:kern w:val="0"/>
                <w:szCs w:val="21"/>
              </w:rPr>
              <w:t>脑网络</w:t>
            </w:r>
            <w:proofErr w:type="gramEnd"/>
            <w:r w:rsidRPr="0010425E">
              <w:rPr>
                <w:rFonts w:eastAsia="仿宋_GB2312"/>
                <w:kern w:val="0"/>
                <w:szCs w:val="21"/>
              </w:rPr>
              <w:t>机制研究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天津医科大学总医院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天津医科大学</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宋毅军</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4</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蛋白激酶</w:t>
            </w:r>
            <w:r w:rsidRPr="0010425E">
              <w:rPr>
                <w:rFonts w:eastAsia="仿宋_GB2312"/>
                <w:kern w:val="0"/>
                <w:szCs w:val="21"/>
              </w:rPr>
              <w:t>A</w:t>
            </w:r>
            <w:r w:rsidRPr="0010425E">
              <w:rPr>
                <w:rFonts w:eastAsia="仿宋_GB2312"/>
                <w:kern w:val="0"/>
                <w:szCs w:val="21"/>
              </w:rPr>
              <w:t>调控脂代谢稳态的神经与分子组</w:t>
            </w:r>
            <w:proofErr w:type="gramStart"/>
            <w:r w:rsidRPr="0010425E">
              <w:rPr>
                <w:rFonts w:eastAsia="仿宋_GB2312"/>
                <w:kern w:val="0"/>
                <w:szCs w:val="21"/>
              </w:rPr>
              <w:t>学机制</w:t>
            </w:r>
            <w:proofErr w:type="gramEnd"/>
            <w:r w:rsidRPr="0010425E">
              <w:rPr>
                <w:rFonts w:eastAsia="仿宋_GB2312"/>
                <w:kern w:val="0"/>
                <w:szCs w:val="21"/>
              </w:rPr>
              <w:t>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天津医科大学基础医学院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天津医科大学</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何金龙</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5</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建立基于基因组</w:t>
            </w:r>
            <w:proofErr w:type="gramStart"/>
            <w:r w:rsidRPr="0010425E">
              <w:rPr>
                <w:rFonts w:eastAsia="仿宋_GB2312"/>
                <w:kern w:val="0"/>
                <w:szCs w:val="21"/>
              </w:rPr>
              <w:t>学信息</w:t>
            </w:r>
            <w:proofErr w:type="gramEnd"/>
            <w:r w:rsidRPr="0010425E">
              <w:rPr>
                <w:rFonts w:eastAsia="仿宋_GB2312"/>
                <w:kern w:val="0"/>
                <w:szCs w:val="21"/>
              </w:rPr>
              <w:t>的急性</w:t>
            </w:r>
            <w:proofErr w:type="gramStart"/>
            <w:r w:rsidRPr="0010425E">
              <w:rPr>
                <w:rFonts w:eastAsia="仿宋_GB2312"/>
                <w:kern w:val="0"/>
                <w:szCs w:val="21"/>
              </w:rPr>
              <w:t>髓</w:t>
            </w:r>
            <w:proofErr w:type="gramEnd"/>
            <w:r w:rsidRPr="0010425E">
              <w:rPr>
                <w:rFonts w:eastAsia="仿宋_GB2312"/>
                <w:kern w:val="0"/>
                <w:szCs w:val="21"/>
              </w:rPr>
              <w:t>细胞白血病复发早期预警新方法</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中国医学科学院血液病医院（血液学研究所）</w:t>
            </w:r>
          </w:p>
        </w:tc>
        <w:tc>
          <w:tcPr>
            <w:tcW w:w="1799"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中国医学科学院血液病医院（血液学研究所）</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魏辉</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6</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弥漫大</w:t>
            </w:r>
            <w:r w:rsidRPr="0010425E">
              <w:rPr>
                <w:rFonts w:eastAsia="仿宋_GB2312"/>
                <w:kern w:val="0"/>
                <w:szCs w:val="21"/>
              </w:rPr>
              <w:t>B</w:t>
            </w:r>
            <w:r w:rsidRPr="0010425E">
              <w:rPr>
                <w:rFonts w:eastAsia="仿宋_GB2312"/>
                <w:kern w:val="0"/>
                <w:szCs w:val="21"/>
              </w:rPr>
              <w:t>细胞淋巴瘤</w:t>
            </w:r>
            <w:proofErr w:type="gramStart"/>
            <w:r w:rsidRPr="0010425E">
              <w:rPr>
                <w:rFonts w:eastAsia="仿宋_GB2312"/>
                <w:kern w:val="0"/>
                <w:szCs w:val="21"/>
              </w:rPr>
              <w:t>基因突变谱与预后</w:t>
            </w:r>
            <w:proofErr w:type="gramEnd"/>
            <w:r w:rsidRPr="0010425E">
              <w:rPr>
                <w:rFonts w:eastAsia="仿宋_GB2312"/>
                <w:kern w:val="0"/>
                <w:szCs w:val="21"/>
              </w:rPr>
              <w:t>模型研究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天津医科大学肿瘤医院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天津医科大学</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张会来</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7</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基于内镜精查的早期胃癌生物标记物筛查与精准诊断的多中心研究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天津医科大学总医院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天津医科大学</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王邦茂</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8</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皮层听觉诱发电位作为复杂人工耳蜗植入儿童成效预测的标记物研究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天津大学精密仪器和光电子学院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天津大学</w:t>
            </w:r>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倪广健</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9</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恶性脑膜瘤中</w:t>
            </w:r>
            <w:r w:rsidRPr="0010425E">
              <w:rPr>
                <w:rFonts w:eastAsia="仿宋_GB2312"/>
                <w:kern w:val="0"/>
                <w:szCs w:val="21"/>
              </w:rPr>
              <w:t>FASN</w:t>
            </w:r>
            <w:r w:rsidRPr="0010425E">
              <w:rPr>
                <w:rFonts w:eastAsia="仿宋_GB2312"/>
                <w:kern w:val="0"/>
                <w:szCs w:val="21"/>
              </w:rPr>
              <w:t>的表达调控及其作用机制研究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天津市第五中心医院</w:t>
            </w:r>
          </w:p>
        </w:tc>
        <w:tc>
          <w:tcPr>
            <w:tcW w:w="1799" w:type="dxa"/>
            <w:vAlign w:val="center"/>
          </w:tcPr>
          <w:p w:rsidR="00957F37" w:rsidRPr="0010425E" w:rsidRDefault="00B05559" w:rsidP="005C6AC7">
            <w:pPr>
              <w:widowControl/>
              <w:jc w:val="left"/>
              <w:rPr>
                <w:rFonts w:eastAsia="仿宋_GB2312"/>
                <w:kern w:val="0"/>
                <w:szCs w:val="21"/>
              </w:rPr>
            </w:pPr>
            <w:r w:rsidRPr="009B0671">
              <w:rPr>
                <w:rFonts w:eastAsia="仿宋_GB2312"/>
                <w:color w:val="000000"/>
                <w:szCs w:val="21"/>
              </w:rPr>
              <w:t>天津市滨海新区科技和工业创新委员会</w:t>
            </w:r>
            <w:bookmarkStart w:id="0" w:name="_GoBack"/>
            <w:bookmarkEnd w:id="0"/>
          </w:p>
        </w:tc>
        <w:tc>
          <w:tcPr>
            <w:tcW w:w="979" w:type="dxa"/>
            <w:vAlign w:val="center"/>
          </w:tcPr>
          <w:p w:rsidR="00957F37" w:rsidRPr="0010425E" w:rsidRDefault="00957F37" w:rsidP="00957F37">
            <w:pPr>
              <w:widowControl/>
              <w:jc w:val="center"/>
              <w:rPr>
                <w:rFonts w:eastAsia="仿宋_GB2312"/>
                <w:kern w:val="0"/>
                <w:szCs w:val="21"/>
              </w:rPr>
            </w:pPr>
            <w:r w:rsidRPr="0010425E">
              <w:rPr>
                <w:rFonts w:eastAsia="仿宋_GB2312"/>
                <w:kern w:val="0"/>
                <w:szCs w:val="21"/>
              </w:rPr>
              <w:t>陈镭</w:t>
            </w:r>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r w:rsidR="00957F37" w:rsidTr="00957F37">
        <w:trPr>
          <w:cantSplit/>
          <w:trHeight w:val="20"/>
          <w:jc w:val="center"/>
        </w:trPr>
        <w:tc>
          <w:tcPr>
            <w:tcW w:w="592" w:type="dxa"/>
            <w:vAlign w:val="center"/>
          </w:tcPr>
          <w:p w:rsidR="00957F37" w:rsidRPr="0010425E" w:rsidRDefault="00957F37" w:rsidP="004B4A72">
            <w:pPr>
              <w:jc w:val="center"/>
              <w:rPr>
                <w:rFonts w:eastAsia="仿宋_GB2312"/>
                <w:szCs w:val="21"/>
              </w:rPr>
            </w:pPr>
            <w:r w:rsidRPr="0010425E">
              <w:rPr>
                <w:rFonts w:eastAsia="仿宋_GB2312"/>
                <w:szCs w:val="21"/>
              </w:rPr>
              <w:t>10</w:t>
            </w:r>
          </w:p>
        </w:tc>
        <w:tc>
          <w:tcPr>
            <w:tcW w:w="29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基于多组学特征谱的人脑胶质瘤治疗策略优化与预警标志物的研究</w:t>
            </w:r>
          </w:p>
        </w:tc>
        <w:tc>
          <w:tcPr>
            <w:tcW w:w="2445" w:type="dxa"/>
            <w:vAlign w:val="center"/>
          </w:tcPr>
          <w:p w:rsidR="00957F37" w:rsidRPr="0010425E" w:rsidRDefault="00957F37" w:rsidP="005C6AC7">
            <w:pPr>
              <w:widowControl/>
              <w:jc w:val="left"/>
              <w:rPr>
                <w:rFonts w:eastAsia="仿宋_GB2312"/>
                <w:kern w:val="0"/>
                <w:szCs w:val="21"/>
              </w:rPr>
            </w:pPr>
            <w:r w:rsidRPr="0010425E">
              <w:rPr>
                <w:rFonts w:eastAsia="仿宋_GB2312"/>
                <w:kern w:val="0"/>
                <w:szCs w:val="21"/>
              </w:rPr>
              <w:t>天津医科大学总医院</w:t>
            </w:r>
          </w:p>
        </w:tc>
        <w:tc>
          <w:tcPr>
            <w:tcW w:w="1799" w:type="dxa"/>
            <w:vAlign w:val="center"/>
          </w:tcPr>
          <w:p w:rsidR="00957F37" w:rsidRPr="0010425E" w:rsidRDefault="00957F37" w:rsidP="00957F37">
            <w:pPr>
              <w:widowControl/>
              <w:jc w:val="left"/>
              <w:rPr>
                <w:rFonts w:eastAsia="仿宋_GB2312"/>
                <w:kern w:val="0"/>
                <w:szCs w:val="21"/>
              </w:rPr>
            </w:pPr>
            <w:r w:rsidRPr="0010425E">
              <w:rPr>
                <w:rFonts w:eastAsia="仿宋_GB2312"/>
                <w:kern w:val="0"/>
                <w:szCs w:val="21"/>
              </w:rPr>
              <w:t>天津医科大学</w:t>
            </w:r>
          </w:p>
        </w:tc>
        <w:tc>
          <w:tcPr>
            <w:tcW w:w="979" w:type="dxa"/>
            <w:vAlign w:val="center"/>
          </w:tcPr>
          <w:p w:rsidR="00957F37" w:rsidRPr="0010425E" w:rsidRDefault="00957F37" w:rsidP="00957F37">
            <w:pPr>
              <w:widowControl/>
              <w:jc w:val="center"/>
              <w:rPr>
                <w:rFonts w:eastAsia="仿宋_GB2312"/>
                <w:kern w:val="0"/>
                <w:szCs w:val="21"/>
              </w:rPr>
            </w:pPr>
            <w:proofErr w:type="gramStart"/>
            <w:r w:rsidRPr="0010425E">
              <w:rPr>
                <w:rFonts w:eastAsia="仿宋_GB2312"/>
                <w:kern w:val="0"/>
                <w:szCs w:val="21"/>
              </w:rPr>
              <w:t>康春生</w:t>
            </w:r>
            <w:proofErr w:type="gramEnd"/>
          </w:p>
        </w:tc>
        <w:tc>
          <w:tcPr>
            <w:tcW w:w="1205" w:type="dxa"/>
            <w:vAlign w:val="center"/>
          </w:tcPr>
          <w:p w:rsidR="00957F37" w:rsidRPr="0010425E" w:rsidRDefault="00957F37" w:rsidP="004B4A72">
            <w:pPr>
              <w:jc w:val="center"/>
              <w:rPr>
                <w:rFonts w:eastAsia="仿宋_GB2312"/>
                <w:color w:val="000000"/>
                <w:szCs w:val="21"/>
              </w:rPr>
            </w:pPr>
            <w:r w:rsidRPr="0010425E">
              <w:rPr>
                <w:rFonts w:eastAsia="仿宋_GB2312"/>
                <w:color w:val="000000"/>
                <w:szCs w:val="21"/>
              </w:rPr>
              <w:t>20</w:t>
            </w:r>
          </w:p>
        </w:tc>
      </w:tr>
    </w:tbl>
    <w:p w:rsidR="00CB2BAE" w:rsidRDefault="00CB2BAE">
      <w:pPr>
        <w:widowControl/>
        <w:jc w:val="left"/>
      </w:pPr>
    </w:p>
    <w:p w:rsidR="00CB2BAE" w:rsidRDefault="00CB2BAE">
      <w:pPr>
        <w:widowControl/>
        <w:jc w:val="left"/>
      </w:pPr>
    </w:p>
    <w:sectPr w:rsidR="00CB2BA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01" w:rsidRDefault="00361D01">
      <w:r>
        <w:separator/>
      </w:r>
    </w:p>
  </w:endnote>
  <w:endnote w:type="continuationSeparator" w:id="0">
    <w:p w:rsidR="00361D01" w:rsidRDefault="003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sdtPr>
    <w:sdtEndPr>
      <w:rPr>
        <w:rFonts w:asciiTheme="minorEastAsia" w:eastAsiaTheme="minorEastAsia" w:hAnsiTheme="minorEastAsia"/>
        <w:sz w:val="28"/>
        <w:szCs w:val="28"/>
      </w:rPr>
    </w:sdtEndPr>
    <w:sdtContent>
      <w:p w:rsidR="00CB2BAE" w:rsidRDefault="00D836A3">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05559" w:rsidRPr="00B05559">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CB2BAE" w:rsidRDefault="00CB2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01" w:rsidRDefault="00361D01">
      <w:r>
        <w:separator/>
      </w:r>
    </w:p>
  </w:footnote>
  <w:footnote w:type="continuationSeparator" w:id="0">
    <w:p w:rsidR="00361D01" w:rsidRDefault="0036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101863"/>
    <w:rsid w:val="00102D6E"/>
    <w:rsid w:val="0010425E"/>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D19D9"/>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E0110"/>
    <w:rsid w:val="002E0795"/>
    <w:rsid w:val="002E4045"/>
    <w:rsid w:val="002F0D70"/>
    <w:rsid w:val="002F2C69"/>
    <w:rsid w:val="002F3132"/>
    <w:rsid w:val="002F624A"/>
    <w:rsid w:val="00300C1F"/>
    <w:rsid w:val="0031465C"/>
    <w:rsid w:val="00315C9E"/>
    <w:rsid w:val="00317934"/>
    <w:rsid w:val="0033749D"/>
    <w:rsid w:val="00344BBA"/>
    <w:rsid w:val="00346DA7"/>
    <w:rsid w:val="00355534"/>
    <w:rsid w:val="00361D01"/>
    <w:rsid w:val="00362EDF"/>
    <w:rsid w:val="003664B6"/>
    <w:rsid w:val="00367442"/>
    <w:rsid w:val="00370010"/>
    <w:rsid w:val="00373728"/>
    <w:rsid w:val="003737A4"/>
    <w:rsid w:val="00375BBD"/>
    <w:rsid w:val="00375FA0"/>
    <w:rsid w:val="00381404"/>
    <w:rsid w:val="003820E3"/>
    <w:rsid w:val="00384144"/>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917AA"/>
    <w:rsid w:val="004B3C28"/>
    <w:rsid w:val="004B49E5"/>
    <w:rsid w:val="004B4A72"/>
    <w:rsid w:val="004C52AC"/>
    <w:rsid w:val="004C58A0"/>
    <w:rsid w:val="004D20D3"/>
    <w:rsid w:val="004D43B9"/>
    <w:rsid w:val="004D464F"/>
    <w:rsid w:val="004E3E87"/>
    <w:rsid w:val="004F7C78"/>
    <w:rsid w:val="005011DB"/>
    <w:rsid w:val="0050156F"/>
    <w:rsid w:val="005146B9"/>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E95"/>
    <w:rsid w:val="005B1A81"/>
    <w:rsid w:val="005C2733"/>
    <w:rsid w:val="005C326C"/>
    <w:rsid w:val="005C4B63"/>
    <w:rsid w:val="005D3968"/>
    <w:rsid w:val="005D4BA1"/>
    <w:rsid w:val="005D50FB"/>
    <w:rsid w:val="005E774B"/>
    <w:rsid w:val="005F1DB1"/>
    <w:rsid w:val="005F4B5F"/>
    <w:rsid w:val="0060349C"/>
    <w:rsid w:val="00611716"/>
    <w:rsid w:val="00611DBD"/>
    <w:rsid w:val="006133EB"/>
    <w:rsid w:val="00617238"/>
    <w:rsid w:val="006204C2"/>
    <w:rsid w:val="006262F0"/>
    <w:rsid w:val="00630735"/>
    <w:rsid w:val="00635832"/>
    <w:rsid w:val="00635D40"/>
    <w:rsid w:val="00637169"/>
    <w:rsid w:val="00640EDD"/>
    <w:rsid w:val="00655118"/>
    <w:rsid w:val="00662CC9"/>
    <w:rsid w:val="006664DD"/>
    <w:rsid w:val="00682C93"/>
    <w:rsid w:val="0069161A"/>
    <w:rsid w:val="00697095"/>
    <w:rsid w:val="006A7748"/>
    <w:rsid w:val="006B2595"/>
    <w:rsid w:val="006B787D"/>
    <w:rsid w:val="006C7F10"/>
    <w:rsid w:val="006D0292"/>
    <w:rsid w:val="006D27B9"/>
    <w:rsid w:val="006D4B56"/>
    <w:rsid w:val="006E5352"/>
    <w:rsid w:val="006F01D8"/>
    <w:rsid w:val="006F144E"/>
    <w:rsid w:val="00707960"/>
    <w:rsid w:val="007116D3"/>
    <w:rsid w:val="00722866"/>
    <w:rsid w:val="007270DB"/>
    <w:rsid w:val="00747F7B"/>
    <w:rsid w:val="00752525"/>
    <w:rsid w:val="007537B3"/>
    <w:rsid w:val="00754808"/>
    <w:rsid w:val="00756FA4"/>
    <w:rsid w:val="00760FBE"/>
    <w:rsid w:val="00791512"/>
    <w:rsid w:val="00796C6A"/>
    <w:rsid w:val="007A0B86"/>
    <w:rsid w:val="007C0A04"/>
    <w:rsid w:val="007D1AD5"/>
    <w:rsid w:val="007D7F1C"/>
    <w:rsid w:val="007E6C58"/>
    <w:rsid w:val="007F0ECC"/>
    <w:rsid w:val="007F142D"/>
    <w:rsid w:val="00803E09"/>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2E01"/>
    <w:rsid w:val="008A78AC"/>
    <w:rsid w:val="008B2ED4"/>
    <w:rsid w:val="008B7F25"/>
    <w:rsid w:val="008C257D"/>
    <w:rsid w:val="008C2F47"/>
    <w:rsid w:val="008D0C23"/>
    <w:rsid w:val="008D452B"/>
    <w:rsid w:val="008E155E"/>
    <w:rsid w:val="008E729D"/>
    <w:rsid w:val="008F7385"/>
    <w:rsid w:val="00910E16"/>
    <w:rsid w:val="00912100"/>
    <w:rsid w:val="009342C5"/>
    <w:rsid w:val="009352EC"/>
    <w:rsid w:val="00942031"/>
    <w:rsid w:val="009519C5"/>
    <w:rsid w:val="009527D3"/>
    <w:rsid w:val="00957F37"/>
    <w:rsid w:val="009657D6"/>
    <w:rsid w:val="00967631"/>
    <w:rsid w:val="0096790D"/>
    <w:rsid w:val="00972198"/>
    <w:rsid w:val="00974AAD"/>
    <w:rsid w:val="009825E7"/>
    <w:rsid w:val="00984112"/>
    <w:rsid w:val="0098560A"/>
    <w:rsid w:val="00986CB2"/>
    <w:rsid w:val="00991AC1"/>
    <w:rsid w:val="009A3848"/>
    <w:rsid w:val="009A6B0E"/>
    <w:rsid w:val="009D230A"/>
    <w:rsid w:val="009D7F53"/>
    <w:rsid w:val="009E0A38"/>
    <w:rsid w:val="009E0F8B"/>
    <w:rsid w:val="009E4529"/>
    <w:rsid w:val="009E7D5F"/>
    <w:rsid w:val="009F72A2"/>
    <w:rsid w:val="00A003DB"/>
    <w:rsid w:val="00A032D3"/>
    <w:rsid w:val="00A0561C"/>
    <w:rsid w:val="00A177F5"/>
    <w:rsid w:val="00A207FF"/>
    <w:rsid w:val="00A318D1"/>
    <w:rsid w:val="00A35CEE"/>
    <w:rsid w:val="00A37FB9"/>
    <w:rsid w:val="00A65513"/>
    <w:rsid w:val="00A6564E"/>
    <w:rsid w:val="00A74AC8"/>
    <w:rsid w:val="00A80D1A"/>
    <w:rsid w:val="00A85779"/>
    <w:rsid w:val="00A87857"/>
    <w:rsid w:val="00A95701"/>
    <w:rsid w:val="00A95767"/>
    <w:rsid w:val="00A96379"/>
    <w:rsid w:val="00A96780"/>
    <w:rsid w:val="00AA5256"/>
    <w:rsid w:val="00AA7812"/>
    <w:rsid w:val="00AB0A15"/>
    <w:rsid w:val="00AC3816"/>
    <w:rsid w:val="00AE1AB1"/>
    <w:rsid w:val="00AE6996"/>
    <w:rsid w:val="00AF603D"/>
    <w:rsid w:val="00AF6DD4"/>
    <w:rsid w:val="00B006AB"/>
    <w:rsid w:val="00B0428E"/>
    <w:rsid w:val="00B05559"/>
    <w:rsid w:val="00B1368F"/>
    <w:rsid w:val="00B22162"/>
    <w:rsid w:val="00B31B9F"/>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D5AB3"/>
    <w:rsid w:val="00BE261B"/>
    <w:rsid w:val="00BE733D"/>
    <w:rsid w:val="00BF2653"/>
    <w:rsid w:val="00C01B44"/>
    <w:rsid w:val="00C06CFC"/>
    <w:rsid w:val="00C135E0"/>
    <w:rsid w:val="00C200CE"/>
    <w:rsid w:val="00C30B5E"/>
    <w:rsid w:val="00C45536"/>
    <w:rsid w:val="00C555EE"/>
    <w:rsid w:val="00C77A53"/>
    <w:rsid w:val="00C82565"/>
    <w:rsid w:val="00CA45CE"/>
    <w:rsid w:val="00CA4A4E"/>
    <w:rsid w:val="00CB2BAE"/>
    <w:rsid w:val="00CC3320"/>
    <w:rsid w:val="00CC78C7"/>
    <w:rsid w:val="00CE41C8"/>
    <w:rsid w:val="00D050E7"/>
    <w:rsid w:val="00D25CA0"/>
    <w:rsid w:val="00D261F5"/>
    <w:rsid w:val="00D27CD0"/>
    <w:rsid w:val="00D27F2E"/>
    <w:rsid w:val="00D31E63"/>
    <w:rsid w:val="00D32C2C"/>
    <w:rsid w:val="00D34A00"/>
    <w:rsid w:val="00D3544E"/>
    <w:rsid w:val="00D37EB4"/>
    <w:rsid w:val="00D41899"/>
    <w:rsid w:val="00D4254E"/>
    <w:rsid w:val="00D508DA"/>
    <w:rsid w:val="00D52859"/>
    <w:rsid w:val="00D56AC6"/>
    <w:rsid w:val="00D741E2"/>
    <w:rsid w:val="00D76B89"/>
    <w:rsid w:val="00D82705"/>
    <w:rsid w:val="00D83235"/>
    <w:rsid w:val="00D836A3"/>
    <w:rsid w:val="00D83D3E"/>
    <w:rsid w:val="00D943A0"/>
    <w:rsid w:val="00DA37D8"/>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33B6D"/>
    <w:rsid w:val="00E446D9"/>
    <w:rsid w:val="00E549D2"/>
    <w:rsid w:val="00E57278"/>
    <w:rsid w:val="00E6067D"/>
    <w:rsid w:val="00E62459"/>
    <w:rsid w:val="00E70202"/>
    <w:rsid w:val="00E813D3"/>
    <w:rsid w:val="00E82B47"/>
    <w:rsid w:val="00E85CD3"/>
    <w:rsid w:val="00E9761B"/>
    <w:rsid w:val="00EA0E5E"/>
    <w:rsid w:val="00EA6C23"/>
    <w:rsid w:val="00EB7C31"/>
    <w:rsid w:val="00EC3532"/>
    <w:rsid w:val="00EC65FA"/>
    <w:rsid w:val="00EC7605"/>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2C6C2-9125-496F-BD08-FA8126A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发展计划处</cp:lastModifiedBy>
  <cp:revision>7</cp:revision>
  <cp:lastPrinted>2018-09-18T09:43:00Z</cp:lastPrinted>
  <dcterms:created xsi:type="dcterms:W3CDTF">2018-09-18T09:36:00Z</dcterms:created>
  <dcterms:modified xsi:type="dcterms:W3CDTF">2018-09-21T09:07:00Z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